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eastAsia="Times New Roman" w:hAnsi="Arial" w:cs="Arial"/>
          <w:sz w:val="36"/>
          <w:szCs w:val="36"/>
        </w:rPr>
        <w:id w:val="355387330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="Helvetica-Bold"/>
          <w:b/>
          <w:bCs/>
          <w:color w:val="000000"/>
          <w:sz w:val="24"/>
          <w:szCs w:val="30"/>
        </w:rPr>
      </w:sdtEndPr>
      <w:sdtContent>
        <w:p w:rsidR="00704375" w:rsidRDefault="00704375">
          <w:pPr>
            <w:rPr>
              <w:rFonts w:ascii="Times New Roman" w:hAnsi="Times New Roman" w:cs="Helvetica-Bold"/>
              <w:b/>
              <w:bCs/>
              <w:color w:val="000000"/>
              <w:sz w:val="24"/>
              <w:szCs w:val="30"/>
            </w:rPr>
          </w:pPr>
          <w:r w:rsidRPr="001D199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81792" behindDoc="0" locked="0" layoutInCell="1" allowOverlap="1" wp14:anchorId="015CDE1E" wp14:editId="62C1D0E1">
                    <wp:simplePos x="0" y="0"/>
                    <wp:positionH relativeFrom="column">
                      <wp:posOffset>11875</wp:posOffset>
                    </wp:positionH>
                    <wp:positionV relativeFrom="paragraph">
                      <wp:posOffset>1210945</wp:posOffset>
                    </wp:positionV>
                    <wp:extent cx="6116955" cy="5557520"/>
                    <wp:effectExtent l="0" t="0" r="0" b="0"/>
                    <wp:wrapNone/>
                    <wp:docPr id="6" name="Text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116955" cy="55575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04375" w:rsidRPr="001D11B4" w:rsidRDefault="00704375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ACADs (08-006</w:t>
                                </w:r>
                                <w:proofErr w:type="gramStart"/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)  Covered</w:t>
                                </w:r>
                                <w:proofErr w:type="gramEnd"/>
                              </w:p>
                              <w:p w:rsidR="00704375" w:rsidRPr="001D11B4" w:rsidRDefault="00704375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tbl>
                                <w:tblPr>
                                  <w:tblW w:w="4623" w:type="pct"/>
                                  <w:tblInd w:w="493" w:type="dxa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600" w:firstRow="0" w:lastRow="0" w:firstColumn="0" w:lastColumn="0" w:noHBand="1" w:noVBand="1"/>
                                </w:tblPr>
                                <w:tblGrid>
                                  <w:gridCol w:w="1486"/>
                                  <w:gridCol w:w="1487"/>
                                  <w:gridCol w:w="1487"/>
                                  <w:gridCol w:w="1487"/>
                                  <w:gridCol w:w="1487"/>
                                  <w:gridCol w:w="1487"/>
                                </w:tblGrid>
                                <w:tr w:rsidR="00AF5D27" w:rsidRPr="001D11B4" w:rsidTr="00AF5D27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148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3.2.2.1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3.2.2.3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3.2.3.1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3.2.3.2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3.2.3</w:t>
                                      </w:r>
                                      <w:bookmarkStart w:id="0" w:name="_GoBack"/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.8.1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3.2.3.16</w:t>
                                      </w:r>
                                    </w:p>
                                  </w:tc>
                                </w:tr>
                                <w:tr w:rsidR="00AF5D27" w:rsidRPr="001D11B4" w:rsidTr="00AF5D27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148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3.23.23.8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3.2.3.28.9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3.2.5.5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3.2.5.6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3.2.5.8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4.4.1</w:t>
                                      </w:r>
                                    </w:p>
                                  </w:tc>
                                </w:tr>
                                <w:tr w:rsidR="00AF5D27" w:rsidRPr="001D11B4" w:rsidTr="00AF5D27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148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3F6319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4.4.3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4.5.1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4.5.2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4.5.4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4.5.7.8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5.4.1.5a</w:t>
                                      </w:r>
                                    </w:p>
                                  </w:tc>
                                </w:tr>
                                <w:tr w:rsidR="00AF5D27" w:rsidRPr="001D11B4" w:rsidTr="00AF5D27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148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5.4.1.5b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5.4.1.5c</w:t>
                                      </w: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48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AF5D27" w:rsidRPr="001D11B4" w:rsidRDefault="00AF5D27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704375" w:rsidRPr="001D11B4" w:rsidRDefault="00704375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p w:rsidR="00704375" w:rsidRPr="001D11B4" w:rsidRDefault="00704375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Keywords</w:t>
                                </w:r>
                              </w:p>
                              <w:p w:rsidR="00704375" w:rsidRPr="00891194" w:rsidRDefault="00704375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704375"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>Operation, calibration, lim</w:t>
                                </w:r>
                                <w:bookmarkEnd w:id="0"/>
                                <w:r w:rsidRPr="00704375"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>itations, Liquid Scintillation Counter, Geiger-Mueller, portable scintillation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 xml:space="preserve">, decay, </w:t>
                                </w:r>
                                <w:r w:rsidR="00891194"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>thin-window, compensated, efficiency, energy distance, quench</w:t>
                                </w:r>
                                <w:r w:rsidRPr="00704375"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>.</w:t>
                                </w:r>
                              </w:p>
                              <w:p w:rsidR="00704375" w:rsidRPr="001D11B4" w:rsidRDefault="00704375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p w:rsidR="00704375" w:rsidRPr="001D11B4" w:rsidRDefault="00704375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Description</w:t>
                                </w:r>
                              </w:p>
                              <w:p w:rsidR="00704375" w:rsidRPr="001D11B4" w:rsidRDefault="00891194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This document provides content for lecture or student handout</w:t>
                                </w:r>
                                <w:r w:rsidR="00840222">
                                  <w:rPr>
                                    <w:sz w:val="22"/>
                                  </w:rPr>
                                  <w:t xml:space="preserve"> on understanding the principles of operation and calibration, and limitations of Liquid Scintillation and Geiger-Mueller counters, and portable scintillation detection systems, and how to apply these principles to radiation surveys and interpretations of results.</w:t>
                                </w:r>
                              </w:p>
                              <w:p w:rsidR="00704375" w:rsidRPr="00891194" w:rsidRDefault="00704375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704375" w:rsidRPr="001D11B4" w:rsidRDefault="00704375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sz w:val="22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Supporting Material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" o:spid="_x0000_s1026" type="#_x0000_t202" style="position:absolute;margin-left:.95pt;margin-top:95.35pt;width:481.65pt;height:43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6+RlgEAAA4DAAAOAAAAZHJzL2Uyb0RvYy54bWysUk1v2zAMvQ/YfxB0XxwHcLYZcYptRXsp&#10;tgHtfoAiS7EAS1RJJXb+/SglTYvtNuxCSfx4fHzU5mb2ozgaJAehk/ViKYUJGnoX9p389XT34ZMU&#10;lFTo1QjBdPJkSN5s37/bTLE1Kxhg7A0KBgnUTrGTQ0qxrSrSg/GKFhBN4KAF9CrxE/dVj2pidD9W&#10;q+VyXU2AfUTQhoi9t+eg3BZ8a41OP6wlk8TYSeaWisVid9lW241q96ji4PSFhvoHFl65wE2vULcq&#10;KXFA9xeUdxqBwKaFBl+BtU6bMgNPUy//mOZxUNGUWVgcileZ6P/B6u/Hnyhc38m1FEF5XtGTmdNX&#10;mEWdxZkitZzzGDkrzezmJb/4iZ155tmizydPIzjOMp+u0jKW0Oxc1/X6c9NIoTnWNM3HZlXEr17L&#10;I1K6N+BFvnQSeXdFUnV8oMRUOPUlJXcLcOfGMfszxzOXfEvzbr4Q30F/Yt4Tr7eT9HxQaKTANH6D&#10;8hvOKF8OCawrDXL5ueaCyqKXvpcPkrf69l2yXr/x9jcAAAD//wMAUEsDBBQABgAIAAAAIQBQNG92&#10;3QAAAAoBAAAPAAAAZHJzL2Rvd25yZXYueG1sTI9BT8MwDIXvSPsPkSdxYwkTLWtpOk1DXEEMmMQt&#10;a7y2onGqJlvLv8c7sZP1/J6ePxfryXXijENoPWm4XygQSJW3LdUaPj9e7lYgQjRkTecJNfxigHU5&#10;uylMbv1I73jexVpwCYXcaGhi7HMpQ9WgM2HheyT2jn5wJrIcamkHM3K56+RSqVQ60xJfaEyP2war&#10;n93Jafh6PX7vH9Rb/eySfvSTkuQyqfXtfNo8gYg4xf8wXPAZHUpmOvgT2SA61hkHL0M9gmA/S5Ml&#10;iANvVJpkIMtCXr9Q/gEAAP//AwBQSwECLQAUAAYACAAAACEAtoM4kv4AAADhAQAAEwAAAAAAAAAA&#10;AAAAAAAAAAAAW0NvbnRlbnRfVHlwZXNdLnhtbFBLAQItABQABgAIAAAAIQA4/SH/1gAAAJQBAAAL&#10;AAAAAAAAAAAAAAAAAC8BAABfcmVscy8ucmVsc1BLAQItABQABgAIAAAAIQAt66+RlgEAAA4DAAAO&#10;AAAAAAAAAAAAAAAAAC4CAABkcnMvZTJvRG9jLnhtbFBLAQItABQABgAIAAAAIQBQNG923QAAAAoB&#10;AAAPAAAAAAAAAAAAAAAAAPADAABkcnMvZG93bnJldi54bWxQSwUGAAAAAAQABADzAAAA+gQAAAAA&#10;" filled="f" stroked="f">
                    <v:textbox>
                      <w:txbxContent>
                        <w:p w:rsidR="00704375" w:rsidRPr="001D11B4" w:rsidRDefault="00704375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ACADs (08-006</w:t>
                          </w:r>
                          <w:proofErr w:type="gramStart"/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)  Covered</w:t>
                          </w:r>
                          <w:proofErr w:type="gramEnd"/>
                        </w:p>
                        <w:p w:rsidR="00704375" w:rsidRPr="001D11B4" w:rsidRDefault="00704375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tbl>
                          <w:tblPr>
                            <w:tblW w:w="4623" w:type="pct"/>
                            <w:tblInd w:w="493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600" w:firstRow="0" w:lastRow="0" w:firstColumn="0" w:lastColumn="0" w:noHBand="1" w:noVBand="1"/>
                          </w:tblPr>
                          <w:tblGrid>
                            <w:gridCol w:w="1486"/>
                            <w:gridCol w:w="1487"/>
                            <w:gridCol w:w="1487"/>
                            <w:gridCol w:w="1487"/>
                            <w:gridCol w:w="1487"/>
                            <w:gridCol w:w="1487"/>
                          </w:tblGrid>
                          <w:tr w:rsidR="00AF5D27" w:rsidRPr="001D11B4" w:rsidTr="00AF5D27">
                            <w:trPr>
                              <w:trHeight w:val="477"/>
                            </w:trPr>
                            <w:tc>
                              <w:tcPr>
                                <w:tcW w:w="148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3.2.2.1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3.2.2.3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3.2.3.1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3.2.3.2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3.2.3</w:t>
                                </w:r>
                                <w:bookmarkStart w:id="1" w:name="_GoBack"/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.8.1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3.2.3.16</w:t>
                                </w:r>
                              </w:p>
                            </w:tc>
                          </w:tr>
                          <w:tr w:rsidR="00AF5D27" w:rsidRPr="001D11B4" w:rsidTr="00AF5D27">
                            <w:trPr>
                              <w:trHeight w:val="477"/>
                            </w:trPr>
                            <w:tc>
                              <w:tcPr>
                                <w:tcW w:w="148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3.23.23.8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3.2.3.28.9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3.2.5.5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3.2.5.6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3.2.5.8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4.4.1</w:t>
                                </w:r>
                              </w:p>
                            </w:tc>
                          </w:tr>
                          <w:tr w:rsidR="00AF5D27" w:rsidRPr="001D11B4" w:rsidTr="00AF5D27">
                            <w:trPr>
                              <w:trHeight w:val="477"/>
                            </w:trPr>
                            <w:tc>
                              <w:tcPr>
                                <w:tcW w:w="148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3F6319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4.4.3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4.5.1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4.5.2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4.5.4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4.5.7.8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5.4.1.5a</w:t>
                                </w:r>
                              </w:p>
                            </w:tc>
                          </w:tr>
                          <w:tr w:rsidR="00AF5D27" w:rsidRPr="001D11B4" w:rsidTr="00AF5D27">
                            <w:trPr>
                              <w:trHeight w:val="477"/>
                            </w:trPr>
                            <w:tc>
                              <w:tcPr>
                                <w:tcW w:w="148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5.4.1.5b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5.4.1.5c</w:t>
                                </w: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48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AF5D27" w:rsidRPr="001D11B4" w:rsidRDefault="00AF5D27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</w:p>
                            </w:tc>
                          </w:tr>
                        </w:tbl>
                        <w:p w:rsidR="00704375" w:rsidRPr="001D11B4" w:rsidRDefault="00704375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p w:rsidR="00704375" w:rsidRPr="001D11B4" w:rsidRDefault="00704375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Keywords</w:t>
                          </w:r>
                        </w:p>
                        <w:p w:rsidR="00704375" w:rsidRPr="00891194" w:rsidRDefault="00704375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</w:pPr>
                          <w:r w:rsidRPr="00704375"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  <w:t>Operation, calibration, lim</w:t>
                          </w:r>
                          <w:bookmarkEnd w:id="1"/>
                          <w:r w:rsidRPr="00704375"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  <w:t>itations, Liquid Scintillation Counter, Geiger-Mueller, portable scintillation</w:t>
                          </w:r>
                          <w:r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  <w:t xml:space="preserve">, decay, </w:t>
                          </w:r>
                          <w:r w:rsidR="00891194"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  <w:t>thin-window, compensated, efficiency, energy distance, quench</w:t>
                          </w:r>
                          <w:r w:rsidRPr="00704375"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  <w:t>.</w:t>
                          </w:r>
                        </w:p>
                        <w:p w:rsidR="00704375" w:rsidRPr="001D11B4" w:rsidRDefault="00704375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p w:rsidR="00704375" w:rsidRPr="001D11B4" w:rsidRDefault="00704375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Description</w:t>
                          </w:r>
                        </w:p>
                        <w:p w:rsidR="00704375" w:rsidRPr="001D11B4" w:rsidRDefault="00891194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This document provides content for lecture or student handout</w:t>
                          </w:r>
                          <w:r w:rsidR="00840222">
                            <w:rPr>
                              <w:sz w:val="22"/>
                            </w:rPr>
                            <w:t xml:space="preserve"> on understanding the principles of operation and calibration, and limitations of Liquid Scintillation and Geiger-Mueller counters, and portable scintillation detection systems, and how to apply these principles to radiation surveys and interpretations of results.</w:t>
                          </w:r>
                        </w:p>
                        <w:p w:rsidR="00704375" w:rsidRPr="00891194" w:rsidRDefault="00704375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</w:pPr>
                        </w:p>
                        <w:p w:rsidR="00704375" w:rsidRPr="001D11B4" w:rsidRDefault="00704375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sz w:val="22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Supporting Material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1D199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82816" behindDoc="0" locked="0" layoutInCell="1" allowOverlap="1" wp14:anchorId="4077397B" wp14:editId="38E4FEA6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5700156" cy="1151906"/>
                    <wp:effectExtent l="0" t="0" r="0" b="0"/>
                    <wp:wrapNone/>
                    <wp:docPr id="8" name="Tit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5700156" cy="1151906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704375" w:rsidRDefault="00704375" w:rsidP="001D11B4">
                                <w:pPr>
                                  <w:pStyle w:val="NormalWeb"/>
                                  <w:spacing w:before="0" w:beforeAutospacing="0" w:after="6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Garamond" w:hAnsi="Garamond" w:cstheme="minorBidi"/>
                                    <w:b/>
                                    <w:bCs/>
                                    <w:color w:val="000000"/>
                                    <w:sz w:val="72"/>
                                    <w:szCs w:val="72"/>
                                    <w14:shadow w14:blurRad="38100" w14:dist="38100" w14:dir="270000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rgbClr w14:val="000000">
                                          <w14:alpha w14:val="50000"/>
                                        </w14:srgb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Radiation Detection and Measurement</w:t>
                                </w:r>
                              </w:p>
                            </w:txbxContent>
                          </wps:txbx>
                          <wps:bodyPr wrap="square" anchor="b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itle 1" o:spid="_x0000_s1027" type="#_x0000_t202" style="position:absolute;margin-left:0;margin-top:0;width:448.85pt;height:90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/x4oQEAAC8DAAAOAAAAZHJzL2Uyb0RvYy54bWysUtFu2yAUfa+0f0C8L9iVkrVWnGpbtb1U&#10;W6V2H0AwxKiGy7gkdv5+F5ym1fpW9QUbOJx7zj13fTO5gR10RAu+5fWi4kx7BZ31u5b/efzx+Yoz&#10;TNJ3cgCvW37UyG82ny7WY2j0JfQwdDoyIvHYjKHlfUqhEQJVr53EBQTt6dJAdDLRNu5EF+VI7G4Q&#10;l1W1EiPELkRQGpFOb+dLvin8xmiVfhuDOrGh5aQtlTWWdZtXsVnLZhdl6K06yZDvUOGk9VT0THUr&#10;k2T7aN9QOasiIJi0UOAEGGOVLh7ITV395+ahl0EXL9QcDOc24cfRql+H+8hs13IKyktHET3aNGhW&#10;59aMARtCPATCpOkbTBRxsYnhDtQTEkS8wswPkNC5FZOJLn/JJKOH1P3jueN6SkzR4fJLVdXLFWeK&#10;7up6WV9Xq1xYvDwPEdNPDY7ln5ZHirRIkIc7TDP0GXJSMwvIutK0nYq5s5stdEcyM1LiLce/exk1&#10;Z9KrHmgots+/31MZkazew9d9AmNLqcw5M5xKUSpF7GmCcuyv9wX1MuebfwAAAP//AwBQSwMEFAAG&#10;AAgAAAAhACm9UO3cAAAABQEAAA8AAABkcnMvZG93bnJldi54bWxMj8FOwzAQRO9I/IO1SNyo0wrR&#10;kMapaCVOcKGAUG9uvImjxOsodpPA17NwgctIqxnNvM23s+vEiENoPClYLhIQSKU3DdUK3l4fb1IQ&#10;IWoyuvOECj4xwLa4vMh1ZvxELzgeYi24hEKmFdgY+0zKUFp0Oix8j8Re5QenI59DLc2gJy53nVwl&#10;yZ10uiFesLrHvcWyPZydgq/K759aOx6Tya+e2/cd7Wz1odT11fywARFxjn9h+MFndCiY6eTPZILo&#10;FPAj8VfZS+/XaxAnDqXLW5BFLv/TF98AAAD//wMAUEsBAi0AFAAGAAgAAAAhALaDOJL+AAAA4QEA&#10;ABMAAAAAAAAAAAAAAAAAAAAAAFtDb250ZW50X1R5cGVzXS54bWxQSwECLQAUAAYACAAAACEAOP0h&#10;/9YAAACUAQAACwAAAAAAAAAAAAAAAAAvAQAAX3JlbHMvLnJlbHNQSwECLQAUAAYACAAAACEA1X/8&#10;eKEBAAAvAwAADgAAAAAAAAAAAAAAAAAuAgAAZHJzL2Uyb0RvYy54bWxQSwECLQAUAAYACAAAACEA&#10;Kb1Q7dwAAAAFAQAADwAAAAAAAAAAAAAAAAD7AwAAZHJzL2Rvd25yZXYueG1sUEsFBgAAAAAEAAQA&#10;8wAAAAQFAAAAAA==&#10;" filled="f" stroked="f">
                    <v:path arrowok="t"/>
                    <v:textbox>
                      <w:txbxContent>
                        <w:p w:rsidR="00704375" w:rsidRDefault="00704375" w:rsidP="001D11B4">
                          <w:pPr>
                            <w:pStyle w:val="NormalWeb"/>
                            <w:spacing w:before="0" w:beforeAutospacing="0" w:after="6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Garamond" w:hAnsi="Garamond" w:cstheme="minorBidi"/>
                              <w:b/>
                              <w:bCs/>
                              <w:color w:val="000000"/>
                              <w:sz w:val="72"/>
                              <w:szCs w:val="72"/>
                              <w14:shadow w14:blurRad="38100" w14:dist="38100" w14:dir="270000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rgbClr w14:val="000000">
                                    <w14:alpha w14:val="50000"/>
                                  </w14:srgb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Radiation Detection and Measurement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 wp14:anchorId="4409ED69" wp14:editId="4BE5BD72">
                <wp:extent cx="5943600" cy="7691755"/>
                <wp:effectExtent l="0" t="0" r="0" b="4445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ocument background.jp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7691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Helvetica-Bold"/>
              <w:b/>
              <w:bCs/>
              <w:color w:val="000000"/>
              <w:sz w:val="24"/>
              <w:szCs w:val="30"/>
            </w:rPr>
            <w:br w:type="page"/>
          </w:r>
        </w:p>
      </w:sdtContent>
    </w:sdt>
    <w:p w:rsidR="00877868" w:rsidRPr="00907FBD" w:rsidRDefault="00877868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30"/>
        </w:rPr>
      </w:pPr>
      <w:r w:rsidRPr="00907FBD">
        <w:rPr>
          <w:rFonts w:ascii="Times New Roman" w:hAnsi="Times New Roman" w:cs="Helvetica-Bold"/>
          <w:b/>
          <w:bCs/>
          <w:color w:val="000000"/>
          <w:sz w:val="24"/>
          <w:szCs w:val="30"/>
        </w:rPr>
        <w:lastRenderedPageBreak/>
        <w:t>Radiation Detection and Measurement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30"/>
        </w:rPr>
        <w:t xml:space="preserve"> </w:t>
      </w:r>
    </w:p>
    <w:p w:rsidR="00D95C07" w:rsidRDefault="00907FBD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4"/>
        </w:rPr>
      </w:pPr>
      <w:r w:rsidRPr="00907FBD">
        <w:rPr>
          <w:rFonts w:ascii="Times New Roman" w:hAnsi="Times New Roman" w:cs="Helvetica-Bold"/>
          <w:b/>
          <w:bCs/>
          <w:noProof/>
          <w:color w:val="000000"/>
          <w:sz w:val="24"/>
          <w:szCs w:val="20"/>
        </w:rPr>
        <w:drawing>
          <wp:anchor distT="0" distB="0" distL="114300" distR="114300" simplePos="0" relativeHeight="251658240" behindDoc="0" locked="0" layoutInCell="1" allowOverlap="1" wp14:anchorId="56CFFF0D" wp14:editId="047878B5">
            <wp:simplePos x="0" y="0"/>
            <wp:positionH relativeFrom="column">
              <wp:posOffset>3606800</wp:posOffset>
            </wp:positionH>
            <wp:positionV relativeFrom="paragraph">
              <wp:posOffset>107950</wp:posOffset>
            </wp:positionV>
            <wp:extent cx="2317750" cy="2340610"/>
            <wp:effectExtent l="19050" t="0" r="635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234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Helvetica-Bold"/>
          <w:b/>
          <w:bCs/>
          <w:color w:val="000000"/>
          <w:sz w:val="24"/>
          <w:szCs w:val="20"/>
        </w:rPr>
        <w:t>Objective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To understand the components, principles of operation and calibration, and limitations of Liquid Scintillation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Counters (LSC) and Geiger-Müeller (GM) and portable scintillation detection systems and to apply these principles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to performing radiation surveys and interpreting the results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D95C07" w:rsidRDefault="00D95C07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4"/>
        </w:rPr>
      </w:pPr>
    </w:p>
    <w:p w:rsidR="00D95C07" w:rsidRDefault="00877868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4"/>
        </w:rPr>
      </w:pPr>
      <w:r w:rsidRPr="00907FBD">
        <w:rPr>
          <w:rFonts w:ascii="Times New Roman" w:hAnsi="Times New Roman" w:cs="Helvetica-Bold"/>
          <w:b/>
          <w:bCs/>
          <w:color w:val="000000"/>
          <w:sz w:val="24"/>
          <w:szCs w:val="24"/>
        </w:rPr>
        <w:t>Radioactive (</w:t>
      </w:r>
      <w:r w:rsidRPr="00907FBD">
        <w:rPr>
          <w:rFonts w:ascii="Times New Roman" w:hAnsi="Times New Roman" w:cs="Arial"/>
          <w:color w:val="000000"/>
          <w:sz w:val="24"/>
          <w:szCs w:val="24"/>
        </w:rPr>
        <w:t>β</w:t>
      </w:r>
      <w:r w:rsidRPr="00907FBD">
        <w:rPr>
          <w:rFonts w:ascii="Times New Roman" w:hAnsi="Times New Roman" w:cs="Helvetica-Bold"/>
          <w:b/>
          <w:bCs/>
          <w:color w:val="000000"/>
          <w:sz w:val="24"/>
          <w:szCs w:val="24"/>
        </w:rPr>
        <w:t xml:space="preserve">) </w:t>
      </w:r>
      <w:r w:rsidR="00207D20" w:rsidRPr="00907FBD">
        <w:rPr>
          <w:rFonts w:ascii="Times New Roman" w:hAnsi="Times New Roman" w:cs="Helvetica-Bold"/>
          <w:b/>
          <w:bCs/>
          <w:color w:val="000000"/>
          <w:sz w:val="24"/>
          <w:szCs w:val="24"/>
        </w:rPr>
        <w:t xml:space="preserve">Decay </w:t>
      </w:r>
    </w:p>
    <w:p w:rsidR="00D95C07" w:rsidRDefault="00207D20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D95C07">
        <w:rPr>
          <w:rFonts w:ascii="Times New Roman" w:hAnsi="Times New Roman" w:cs="Helvetica-Bold"/>
          <w:bCs/>
          <w:color w:val="000000"/>
          <w:sz w:val="24"/>
          <w:szCs w:val="24"/>
        </w:rPr>
        <w:t>Radioactivity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results from an unstable combination of protons and neutrons in the nucleus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 nucleus's consequent attempt to arrive at a more stable combination of particles often results in the emission of an alpha or beta particle, or gamma ray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Because 85% of the researchers at the University use beta emitters, we will concentrate on beta radiation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 </w:t>
      </w:r>
    </w:p>
    <w:p w:rsidR="00D95C07" w:rsidRDefault="00D95C07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D95C07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Beta particles are essentially energetic electrons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energy released by the emission is dependent on the radioisotope and is shared by the beta particle and the neutrino (</w:t>
      </w:r>
      <w:r w:rsidRPr="00907FBD">
        <w:rPr>
          <w:rFonts w:ascii="Arial" w:hAnsi="Arial" w:cs="Arial"/>
          <w:color w:val="000000"/>
          <w:sz w:val="24"/>
          <w:szCs w:val="20"/>
        </w:rPr>
        <w:t>􀀝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*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Because of this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energy sharing, and the fact that neutrinos are not easily detected, the graph of beta particle energy versus beta abundance (Figure 1) is very broad, starting at 0 keV (i.e., all energy is given to the neutrino) and ending at some E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 xml:space="preserve">max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keV (i.e., all the energy is given to the beta particle), which depends on the radioisotope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greatest number of beta particles are emitted with energies approximately </w:t>
      </w:r>
      <w:r w:rsidRPr="00907FBD">
        <w:rPr>
          <w:rFonts w:ascii="Times New Roman" w:hAnsi="Times New Roman" w:cs="LotusWPType"/>
          <w:color w:val="000000"/>
          <w:sz w:val="24"/>
          <w:szCs w:val="20"/>
        </w:rPr>
        <w:t xml:space="preserve">a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of the maximum energy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</w:p>
    <w:p w:rsidR="00D95C07" w:rsidRDefault="00D95C07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877868" w:rsidRPr="00907FBD" w:rsidRDefault="00877868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4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Because of their electric charge, the emitted beta particles transfer their energy to their surroundings, eventually losing all of their energy and coming to rest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These beta particles usually do not travel very far and most are unable to penetrate a liquid scintillation vial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4"/>
        </w:rPr>
        <w:t xml:space="preserve"> </w:t>
      </w:r>
    </w:p>
    <w:p w:rsidR="00D95C07" w:rsidRDefault="00D95C07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4"/>
        </w:rPr>
      </w:pPr>
    </w:p>
    <w:p w:rsidR="00877868" w:rsidRPr="00907FBD" w:rsidRDefault="00877868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4"/>
        </w:rPr>
      </w:pPr>
      <w:r w:rsidRPr="00907FBD">
        <w:rPr>
          <w:rFonts w:ascii="Times New Roman" w:hAnsi="Times New Roman" w:cs="Helvetica-Bold"/>
          <w:b/>
          <w:bCs/>
          <w:color w:val="000000"/>
          <w:sz w:val="24"/>
          <w:szCs w:val="24"/>
        </w:rPr>
        <w:t>Portable Survey Meters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4"/>
        </w:rPr>
        <w:t xml:space="preserve"> </w:t>
      </w:r>
    </w:p>
    <w:p w:rsidR="00877868" w:rsidRPr="00907FBD" w:rsidRDefault="00D95C07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  <w:r>
        <w:rPr>
          <w:rFonts w:ascii="Times New Roman" w:hAnsi="Times New Roman" w:cs="Helvetica-Bold"/>
          <w:b/>
          <w:bCs/>
          <w:noProof/>
          <w:color w:val="000000"/>
          <w:sz w:val="24"/>
          <w:szCs w:val="20"/>
        </w:rPr>
        <w:drawing>
          <wp:anchor distT="0" distB="0" distL="114300" distR="114300" simplePos="0" relativeHeight="251659264" behindDoc="0" locked="0" layoutInCell="1" allowOverlap="1" wp14:anchorId="1CBB6936" wp14:editId="5CBFEB99">
            <wp:simplePos x="0" y="0"/>
            <wp:positionH relativeFrom="column">
              <wp:posOffset>3663315</wp:posOffset>
            </wp:positionH>
            <wp:positionV relativeFrom="paragraph">
              <wp:posOffset>32385</wp:posOffset>
            </wp:positionV>
            <wp:extent cx="2166620" cy="1763395"/>
            <wp:effectExtent l="19050" t="0" r="508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176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Helvetica-Bold"/>
          <w:b/>
          <w:bCs/>
          <w:color w:val="000000"/>
          <w:sz w:val="24"/>
          <w:szCs w:val="20"/>
        </w:rPr>
        <w:t>GM Systems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0"/>
        </w:rPr>
        <w:t xml:space="preserve"> </w:t>
      </w:r>
    </w:p>
    <w:p w:rsidR="00877868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 Geiger-Müeller (GM or Geiger) detector is made </w:t>
      </w:r>
      <w:r w:rsidR="00907FBD" w:rsidRPr="00907FBD">
        <w:rPr>
          <w:rFonts w:ascii="Times New Roman" w:hAnsi="Times New Roman" w:cs="Times-Roman"/>
          <w:color w:val="000000"/>
          <w:sz w:val="24"/>
          <w:szCs w:val="20"/>
        </w:rPr>
        <w:t>by putting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a gas whose molecules have a very low affinity for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electrons (i.e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gases which are easily ionized such as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helium, neon, argon, etc.) into a conducting shell, mounting a fine wire that is insulated from the shell at the center of the tube, and connecting a positive high voltage of approximately 900 volts between the wire and the shell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Ionizing radiation, such as </w:t>
      </w:r>
      <w:r w:rsidR="00D95C07">
        <w:rPr>
          <w:rFonts w:ascii="Arial" w:hAnsi="Arial" w:cs="Arial"/>
          <w:color w:val="000000"/>
          <w:sz w:val="24"/>
          <w:szCs w:val="20"/>
        </w:rPr>
        <w:t xml:space="preserve">α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and </w:t>
      </w:r>
      <w:r w:rsidR="00D95C07">
        <w:rPr>
          <w:rFonts w:ascii="Arial" w:hAnsi="Arial" w:cs="Arial"/>
          <w:color w:val="000000"/>
          <w:sz w:val="24"/>
          <w:szCs w:val="20"/>
        </w:rPr>
        <w:t xml:space="preserve">β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particles, enter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detector and strike gas molecules while x- / </w:t>
      </w:r>
      <w:r w:rsidR="00D95C07">
        <w:rPr>
          <w:rFonts w:ascii="Arial" w:hAnsi="Arial" w:cs="Arial"/>
          <w:color w:val="000000"/>
          <w:sz w:val="24"/>
          <w:szCs w:val="20"/>
        </w:rPr>
        <w:t>γ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-ray photons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interact with the wall (conducting shell) material ejecting ionized electrons into the gas which then cause ionizations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From the ion pairs produced, the free electron is </w:t>
      </w:r>
      <w:r w:rsidR="00D95C07" w:rsidRPr="00907FBD">
        <w:rPr>
          <w:rFonts w:ascii="Times New Roman" w:hAnsi="Times New Roman" w:cs="Times-Roman"/>
          <w:color w:val="000000"/>
          <w:sz w:val="24"/>
          <w:szCs w:val="20"/>
        </w:rPr>
        <w:t>accelerated toward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the central wire attracted by the positive, high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voltage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electrons acquire such high speeds that they can interact with other gas molecules (i.e., E = </w:t>
      </w:r>
      <w:r w:rsidR="00D95C07">
        <w:rPr>
          <w:rFonts w:ascii="Times New Roman" w:hAnsi="Times New Roman" w:cs="Times-Roman"/>
          <w:color w:val="000000"/>
          <w:sz w:val="24"/>
          <w:szCs w:val="20"/>
        </w:rPr>
        <w:t>1/</w:t>
      </w:r>
      <w:r w:rsidRPr="00907FBD">
        <w:rPr>
          <w:rFonts w:ascii="Times New Roman" w:hAnsi="Times New Roman" w:cs="LotusWPType"/>
          <w:color w:val="000000"/>
          <w:sz w:val="24"/>
          <w:szCs w:val="20"/>
        </w:rPr>
        <w:t>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mv</w:t>
      </w:r>
      <w:r w:rsidRPr="00D95C07">
        <w:rPr>
          <w:rFonts w:ascii="Times New Roman" w:hAnsi="Times New Roman" w:cs="Times-Roman"/>
          <w:color w:val="000000"/>
          <w:sz w:val="24"/>
          <w:szCs w:val="12"/>
          <w:vertAlign w:val="superscript"/>
        </w:rPr>
        <w:t>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) and produce more (secondary) ion pairs until finally, approximately 1 microsecond after the first ionizing event, nearly all of the gas in the detector is ionized (Townsend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Avalanche)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When the electrons reach the central wire they are collected (neutralized) and produce a sharp pulse of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several volts which is measured by the meter's electronics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D95C07" w:rsidRDefault="00D95C07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907FBD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60288" behindDoc="0" locked="0" layoutInCell="1" allowOverlap="1" wp14:anchorId="49BE2226" wp14:editId="1E30F648">
            <wp:simplePos x="0" y="0"/>
            <wp:positionH relativeFrom="column">
              <wp:posOffset>3838575</wp:posOffset>
            </wp:positionH>
            <wp:positionV relativeFrom="paragraph">
              <wp:posOffset>95250</wp:posOffset>
            </wp:positionV>
            <wp:extent cx="2406015" cy="146304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015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 GM is a system where almost all particle radiation incident on the sensitive volume is detected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Any radiation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particle (</w:t>
      </w:r>
      <w:r w:rsidRPr="00907FBD">
        <w:rPr>
          <w:rFonts w:ascii="Times New Roman" w:hAnsi="Times New Roman" w:cs="Arial"/>
          <w:color w:val="000000"/>
          <w:sz w:val="24"/>
          <w:szCs w:val="20"/>
        </w:rPr>
        <w:t>α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, </w:t>
      </w:r>
      <w:r w:rsidRPr="00907FBD">
        <w:rPr>
          <w:rFonts w:ascii="Times New Roman" w:hAnsi="Times New Roman" w:cs="Arial"/>
          <w:color w:val="000000"/>
          <w:sz w:val="24"/>
          <w:szCs w:val="20"/>
        </w:rPr>
        <w:t>β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) that ionizes at least one molecule of the gas initiates a succession of ionizations and discharges in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detector that causes the central wire to collect a multitude of additional electrons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This tremendous charge (</w:t>
      </w:r>
      <w:r w:rsidR="00D95C07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about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10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  <w:vertAlign w:val="superscript"/>
        </w:rPr>
        <w:t>9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electrons) produces a signal of about 1 volt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meter </w:t>
      </w:r>
      <w:r w:rsidR="00D95C07" w:rsidRPr="00907FBD">
        <w:rPr>
          <w:rFonts w:ascii="Times New Roman" w:hAnsi="Times New Roman" w:cs="Times-Roman"/>
          <w:color w:val="000000"/>
          <w:sz w:val="24"/>
          <w:szCs w:val="20"/>
        </w:rPr>
        <w:t>itself is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simply a pulse counter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Because the pulse height is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independent of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the type and energy of the incident radiation (a </w:t>
      </w:r>
      <w:r w:rsidR="00D95C07" w:rsidRPr="00907FBD">
        <w:rPr>
          <w:rFonts w:ascii="Times New Roman" w:hAnsi="Times New Roman" w:cs="Times-Roman"/>
          <w:color w:val="000000"/>
          <w:sz w:val="24"/>
          <w:szCs w:val="20"/>
        </w:rPr>
        <w:t>single ionizing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event produces a pulse), without an external </w:t>
      </w:r>
      <w:r w:rsidR="00D95C07" w:rsidRPr="00907FBD">
        <w:rPr>
          <w:rFonts w:ascii="Times New Roman" w:hAnsi="Times New Roman" w:cs="Times-Roman"/>
          <w:color w:val="000000"/>
          <w:sz w:val="24"/>
          <w:szCs w:val="20"/>
        </w:rPr>
        <w:t>discriminating apparatus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(e.g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sliding shields or covers) a GM system tells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 user nothing about the energy or type of the radiation producing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 pulse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D95C07" w:rsidRDefault="00D95C07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907FBD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61312" behindDoc="0" locked="0" layoutInCell="1" allowOverlap="1" wp14:anchorId="5764DFE7" wp14:editId="53EE8027">
            <wp:simplePos x="0" y="0"/>
            <wp:positionH relativeFrom="column">
              <wp:posOffset>3373755</wp:posOffset>
            </wp:positionH>
            <wp:positionV relativeFrom="paragraph">
              <wp:posOffset>1200150</wp:posOffset>
            </wp:positionV>
            <wp:extent cx="2941955" cy="3435350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55" cy="343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Geiger counters are used for radiation surveys because of their high sensitivity for beta particles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D95C07" w:rsidRPr="00907FBD">
        <w:rPr>
          <w:rFonts w:ascii="Times New Roman" w:hAnsi="Times New Roman" w:cs="Times-Roman"/>
          <w:color w:val="000000"/>
          <w:sz w:val="24"/>
          <w:szCs w:val="20"/>
        </w:rPr>
        <w:t>Practically every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D95C07">
        <w:rPr>
          <w:rFonts w:ascii="Arial" w:hAnsi="Arial" w:cs="Arial"/>
          <w:color w:val="000000"/>
          <w:sz w:val="24"/>
          <w:szCs w:val="20"/>
        </w:rPr>
        <w:t>β</w:t>
      </w:r>
      <w:r w:rsidR="00877868"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particle that penetrates the shell and reaches the fill gas will cause a discharge and produce a count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Because gamma rays are less densely ionizing, only a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small fraction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will interact with the shell and a much </w:t>
      </w:r>
      <w:r w:rsidR="00D95C07" w:rsidRPr="00907FBD">
        <w:rPr>
          <w:rFonts w:ascii="Times New Roman" w:hAnsi="Times New Roman" w:cs="Times-Roman"/>
          <w:color w:val="000000"/>
          <w:sz w:val="24"/>
          <w:szCs w:val="20"/>
        </w:rPr>
        <w:t>smaller fraction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interacts with the gas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To compensate for the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low number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of ionizations produced by x- / </w:t>
      </w:r>
      <w:r w:rsidR="00D95C07">
        <w:rPr>
          <w:rFonts w:ascii="Arial" w:hAnsi="Arial" w:cs="Arial"/>
          <w:color w:val="000000"/>
          <w:sz w:val="24"/>
          <w:szCs w:val="20"/>
        </w:rPr>
        <w:t>γ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-rays, a thick (i.e.,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200 mg/cm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2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) steel sheath is often placed around the Geiger tube to produce more interactions in the thick wall that will eject ionized electrons into the gas to be counted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D95C07" w:rsidRDefault="00D95C07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two basic types of GM detectors are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thin-window </w:t>
      </w:r>
      <w:r w:rsidR="00207D20" w:rsidRPr="00907FBD">
        <w:rPr>
          <w:rFonts w:ascii="Times New Roman" w:hAnsi="Times New Roman" w:cs="Times-Roman"/>
          <w:color w:val="000000"/>
          <w:sz w:val="24"/>
          <w:szCs w:val="20"/>
        </w:rPr>
        <w:t>and compensated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GM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thin-window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GM has a </w:t>
      </w:r>
      <w:r w:rsidR="00D95C07" w:rsidRPr="00907FBD">
        <w:rPr>
          <w:rFonts w:ascii="Times New Roman" w:hAnsi="Times New Roman" w:cs="Times-Roman"/>
          <w:color w:val="000000"/>
          <w:sz w:val="24"/>
          <w:szCs w:val="20"/>
        </w:rPr>
        <w:t>conducting shell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with one area covered only by a thin (e.g., 1.5 - 4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mg/cm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) mica or mylar cover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This window allows </w:t>
      </w:r>
      <w:r w:rsidR="00207D20" w:rsidRPr="00907FBD">
        <w:rPr>
          <w:rFonts w:ascii="Times New Roman" w:hAnsi="Times New Roman" w:cs="Times-Roman"/>
          <w:color w:val="000000"/>
          <w:sz w:val="24"/>
          <w:szCs w:val="20"/>
        </w:rPr>
        <w:t>particles to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enter the chamber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shell of the detector is </w:t>
      </w:r>
      <w:r w:rsidR="00907FBD" w:rsidRPr="00907FBD">
        <w:rPr>
          <w:rFonts w:ascii="Times New Roman" w:hAnsi="Times New Roman" w:cs="Times-Roman"/>
          <w:color w:val="000000"/>
          <w:sz w:val="24"/>
          <w:szCs w:val="20"/>
        </w:rPr>
        <w:t>usually made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of steel or coated glass approximately 30 mg/cm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2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compensated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GM is similar to a thin-window GM, but is also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covered with an additional steel sheath which may have 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sliding or rotating window to expose the 30 mg/cm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 xml:space="preserve">2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steel shell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and allow energetic </w:t>
      </w:r>
      <w:r w:rsidRPr="00907FBD">
        <w:rPr>
          <w:rFonts w:ascii="Arial" w:hAnsi="Arial" w:cs="Arial"/>
          <w:color w:val="000000"/>
          <w:sz w:val="24"/>
          <w:szCs w:val="20"/>
        </w:rPr>
        <w:t>􀀒</w:t>
      </w:r>
      <w:r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particles like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 to enter the chamber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Beta particles with energies less than 300 keV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cannot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be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detected with a compensated GM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907FBD" w:rsidRPr="00907FBD" w:rsidRDefault="00877868" w:rsidP="00D95C07">
      <w:pPr>
        <w:spacing w:after="0" w:line="240" w:lineRule="auto"/>
        <w:ind w:firstLine="720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A GM is useful because it: (1) has a high sensitivity for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particle radiation (less for x- / </w:t>
      </w:r>
      <w:r w:rsidRPr="00907FBD">
        <w:rPr>
          <w:rFonts w:ascii="Arial" w:hAnsi="Arial" w:cs="Arial"/>
          <w:color w:val="000000"/>
          <w:sz w:val="24"/>
          <w:szCs w:val="20"/>
        </w:rPr>
        <w:t>􀀓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-rays), (2) can be used with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different types of radiation, (3) can be fabricated in a wide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variety of shapes, (4) produces a strong output signal requiring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little or no amplification, (5) is relatively rugged, and (6)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is relatively inexpensive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907FBD" w:rsidRPr="00907FBD" w:rsidRDefault="00907FBD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  <w:r w:rsidRPr="00907FBD">
        <w:rPr>
          <w:rFonts w:ascii="Times New Roman" w:hAnsi="Times New Roman" w:cs="Helvetica-Bold"/>
          <w:b/>
          <w:bCs/>
          <w:color w:val="000000"/>
          <w:sz w:val="24"/>
          <w:szCs w:val="20"/>
        </w:rPr>
        <w:t>GM Detector Efficiency and Energy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0"/>
        </w:rPr>
        <w:t xml:space="preserve"> </w:t>
      </w:r>
    </w:p>
    <w:p w:rsidR="00907FBD" w:rsidRPr="00907FBD" w:rsidRDefault="00D95C07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62336" behindDoc="0" locked="0" layoutInCell="1" allowOverlap="1" wp14:anchorId="7FB72CD5" wp14:editId="313FF153">
            <wp:simplePos x="0" y="0"/>
            <wp:positionH relativeFrom="column">
              <wp:posOffset>4015740</wp:posOffset>
            </wp:positionH>
            <wp:positionV relativeFrom="paragraph">
              <wp:posOffset>85090</wp:posOffset>
            </wp:positionV>
            <wp:extent cx="2227580" cy="417830"/>
            <wp:effectExtent l="19050" t="0" r="127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417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Efficiency relates the sensitivity of the detector to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specific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radiation being measured and the equation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then correlates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counts per minute to source activity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D95C07" w:rsidRDefault="00D95C07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While there are many factors which affect efficiency, in a GM system, efficiency directly related to the </w:t>
      </w:r>
      <w:r w:rsidR="00D95C07" w:rsidRPr="00907FBD">
        <w:rPr>
          <w:rFonts w:ascii="Times New Roman" w:hAnsi="Times New Roman" w:cs="Times-Roman"/>
          <w:color w:val="000000"/>
          <w:sz w:val="24"/>
          <w:szCs w:val="20"/>
        </w:rPr>
        <w:t>radiation’s penetrability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(i.e., how far does the radiation penetrate in matter) and the geometry of the source (i.e., </w:t>
      </w:r>
      <w:r w:rsidR="00D95C07" w:rsidRPr="00907FBD">
        <w:rPr>
          <w:rFonts w:ascii="Times New Roman" w:hAnsi="Times New Roman" w:cs="Times-Roman"/>
          <w:color w:val="000000"/>
          <w:sz w:val="24"/>
          <w:szCs w:val="20"/>
        </w:rPr>
        <w:t>where is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the radiation source in relation to the detector)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D95C07" w:rsidRDefault="00D95C07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</w:p>
    <w:p w:rsidR="00D95C07" w:rsidRDefault="00877868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Alpha particle </w:t>
      </w:r>
      <w:r w:rsidR="00D95C07"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efficiency </w:t>
      </w:r>
    </w:p>
    <w:p w:rsidR="007662EB" w:rsidRDefault="00D95C07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Most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alpha particles are emitted with energy greater than 4.5 MeV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Because </w:t>
      </w:r>
      <w:r>
        <w:rPr>
          <w:rFonts w:ascii="Arial" w:hAnsi="Arial" w:cs="Arial"/>
          <w:color w:val="000000"/>
          <w:sz w:val="24"/>
          <w:szCs w:val="20"/>
        </w:rPr>
        <w:t>α</w:t>
      </w:r>
      <w:r w:rsidR="007662EB">
        <w:rPr>
          <w:rFonts w:ascii="Arial" w:hAnsi="Arial" w:cs="Arial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particles have high specific ionization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, all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alpha particles that enter the sensitive volume will be counted and the system efficiency is high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However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, alpha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particles are easily absorbed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When determining efficiency, factors such as source absorption (i.e., attenuation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of particles by source and source housing), air absorption (i.e., attenuation by the air), and absorption by GM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window (i.e., even the 4 mg/cm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 xml:space="preserve">2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mica window stops some alpha particles) contribute to reduced efficiency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Generally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, because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alpha particles are emitted with energies between 4.5 - 5.5 MeV, a GM system should have approximately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 same efficiency for every alpha emitter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662EB" w:rsidRDefault="007662EB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</w:p>
    <w:p w:rsidR="007662EB" w:rsidRDefault="00877868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Beta particle efficiency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 </w:t>
      </w: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Although beta particles are emitted with lower energies than alpha particles, because of their small size they </w:t>
      </w:r>
      <w:r w:rsidR="007662EB" w:rsidRPr="00907FBD">
        <w:rPr>
          <w:rFonts w:ascii="Times New Roman" w:hAnsi="Times New Roman" w:cs="Times-Roman"/>
          <w:color w:val="000000"/>
          <w:sz w:val="24"/>
          <w:szCs w:val="20"/>
        </w:rPr>
        <w:t>have longer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ranges than alpha particles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Thus, geometry factors, particularly distance from the sensitive volume, is </w:t>
      </w:r>
      <w:r w:rsidR="007662EB" w:rsidRPr="00907FBD">
        <w:rPr>
          <w:rFonts w:ascii="Times New Roman" w:hAnsi="Times New Roman" w:cs="Times-Roman"/>
          <w:color w:val="000000"/>
          <w:sz w:val="24"/>
          <w:szCs w:val="20"/>
        </w:rPr>
        <w:t>less critical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than for alpha detection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All beta particles that enter the sensitive volume will be counted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wide </w:t>
      </w:r>
      <w:r w:rsidR="007662EB" w:rsidRPr="00907FBD">
        <w:rPr>
          <w:rFonts w:ascii="Times New Roman" w:hAnsi="Times New Roman" w:cs="Times-Roman"/>
          <w:color w:val="000000"/>
          <w:sz w:val="24"/>
          <w:szCs w:val="20"/>
        </w:rPr>
        <w:t>range of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beta energies results in a wide range of efficiencies for the same sample geometry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Higher energy beta </w:t>
      </w:r>
      <w:r w:rsidR="007662EB" w:rsidRPr="00907FBD">
        <w:rPr>
          <w:rFonts w:ascii="Times New Roman" w:hAnsi="Times New Roman" w:cs="Times-Roman"/>
          <w:color w:val="000000"/>
          <w:sz w:val="24"/>
          <w:szCs w:val="20"/>
        </w:rPr>
        <w:t>particles will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have greater range so source absorption and absorption by the GM window will be less and efficiency higher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 thin-window GM has a relatively high efficiency for beta particles and betas with maximum energies (E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max</w:t>
      </w:r>
      <w:r w:rsidR="007662EB" w:rsidRPr="00907FBD">
        <w:rPr>
          <w:rFonts w:ascii="Times New Roman" w:hAnsi="Times New Roman" w:cs="Times-Roman"/>
          <w:color w:val="000000"/>
          <w:sz w:val="24"/>
          <w:szCs w:val="20"/>
        </w:rPr>
        <w:t>) greater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than 100 keV (see Figure 7) can readily be detected with this type of GM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Additionally, some beta emitters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decay to daughter nuclides which are also beta emitting radionuclides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In this instance, source activity is </w:t>
      </w:r>
      <w:r w:rsidR="007662EB" w:rsidRPr="00907FBD">
        <w:rPr>
          <w:rFonts w:ascii="Times New Roman" w:hAnsi="Times New Roman" w:cs="Times-Roman"/>
          <w:color w:val="000000"/>
          <w:sz w:val="24"/>
          <w:szCs w:val="20"/>
        </w:rPr>
        <w:t>usually indicated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by the parent activity causing the apparent efficiency (when counting check sources) to exceed 1 (i.e.,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100%)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daughter may also be more energetic than the parent (e.g.,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90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Sr and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90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Y) insuring that more of </w:t>
      </w:r>
      <w:r w:rsidR="007662EB" w:rsidRPr="00907FBD">
        <w:rPr>
          <w:rFonts w:ascii="Times New Roman" w:hAnsi="Times New Roman" w:cs="Times-Roman"/>
          <w:color w:val="000000"/>
          <w:sz w:val="24"/>
          <w:szCs w:val="20"/>
        </w:rPr>
        <w:t>the daughters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are detected for the same geometry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662EB" w:rsidRDefault="007662EB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</w:p>
    <w:p w:rsidR="007662EB" w:rsidRDefault="007662EB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  <w:r>
        <w:rPr>
          <w:rFonts w:ascii="Times New Roman" w:hAnsi="Times New Roman" w:cs="Times-Bold"/>
          <w:b/>
          <w:bCs/>
          <w:noProof/>
          <w:color w:val="000000"/>
          <w:sz w:val="24"/>
          <w:szCs w:val="20"/>
        </w:rPr>
        <w:drawing>
          <wp:anchor distT="0" distB="0" distL="114300" distR="114300" simplePos="0" relativeHeight="251663360" behindDoc="0" locked="0" layoutInCell="1" allowOverlap="1" wp14:anchorId="7D19C00F" wp14:editId="5FEA0784">
            <wp:simplePos x="0" y="0"/>
            <wp:positionH relativeFrom="column">
              <wp:posOffset>3402330</wp:posOffset>
            </wp:positionH>
            <wp:positionV relativeFrom="paragraph">
              <wp:posOffset>167640</wp:posOffset>
            </wp:positionV>
            <wp:extent cx="2929890" cy="2573020"/>
            <wp:effectExtent l="19050" t="0" r="381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890" cy="257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X- and Gamma ray efficiency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 </w:t>
      </w: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X- and </w:t>
      </w:r>
      <w:r w:rsidR="007662EB">
        <w:rPr>
          <w:rFonts w:ascii="Arial" w:hAnsi="Arial" w:cs="Arial"/>
          <w:color w:val="000000"/>
          <w:sz w:val="24"/>
          <w:szCs w:val="20"/>
        </w:rPr>
        <w:t>γ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-ray photons can travel long distances in air and thus have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low specific ionization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Compared to particulate radiation </w:t>
      </w:r>
      <w:r w:rsidR="007662EB" w:rsidRPr="00907FBD">
        <w:rPr>
          <w:rFonts w:ascii="Times New Roman" w:hAnsi="Times New Roman" w:cs="Times-Roman"/>
          <w:color w:val="000000"/>
          <w:sz w:val="24"/>
          <w:szCs w:val="20"/>
        </w:rPr>
        <w:t>which produces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a large number of ion pairs in the fill gas, photons </w:t>
      </w:r>
      <w:r w:rsidR="007662EB" w:rsidRPr="00907FBD">
        <w:rPr>
          <w:rFonts w:ascii="Times New Roman" w:hAnsi="Times New Roman" w:cs="Times-Roman"/>
          <w:color w:val="000000"/>
          <w:sz w:val="24"/>
          <w:szCs w:val="20"/>
        </w:rPr>
        <w:t>produce very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few ionizing events in the gas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Detection of x- / </w:t>
      </w:r>
      <w:r w:rsidRPr="00907FBD">
        <w:rPr>
          <w:rFonts w:ascii="Arial" w:hAnsi="Arial" w:cs="Arial"/>
          <w:color w:val="000000"/>
          <w:sz w:val="24"/>
          <w:szCs w:val="20"/>
        </w:rPr>
        <w:t>􀀓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-rays </w:t>
      </w:r>
      <w:r w:rsidR="007662EB" w:rsidRPr="00907FBD">
        <w:rPr>
          <w:rFonts w:ascii="Times New Roman" w:hAnsi="Times New Roman" w:cs="Times-Roman"/>
          <w:color w:val="000000"/>
          <w:sz w:val="24"/>
          <w:szCs w:val="20"/>
        </w:rPr>
        <w:t>normally results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because the photons interact with the GM tube's shell (Figure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5), which has a greater density, and electrons are ejected from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walls into the fill gas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These electrons then produce </w:t>
      </w:r>
      <w:r w:rsidR="007662EB" w:rsidRPr="00907FBD">
        <w:rPr>
          <w:rFonts w:ascii="Times New Roman" w:hAnsi="Times New Roman" w:cs="Times-Roman"/>
          <w:color w:val="000000"/>
          <w:sz w:val="24"/>
          <w:szCs w:val="20"/>
        </w:rPr>
        <w:t>secondary ionizations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which are recorded as counts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Photons do not interact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with the thin window (e.g., 4 mg/cm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) GM tubes used to detect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particulate radiation, so GM tubes used to measure photons incorporate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 thick (e.g., 200 mg/cm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) shield around the tube to compensate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for the low sensitivity and produce secondary ionizing electrons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Thus, when conducting a contamination survey where only photons,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and particularly where higher energy photons (e.g., &gt; 100 keV), are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to be encountered, a thin window GM detector would have a lower efficiency (e.g., &lt; 1%) than a compensated GM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 shielded, thin window pancake-type GM probe (e.g., HP-210) may have a higher efficiency than a thin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end-window GM because, after passing through the flat tube, the photon may interact with the shield and eject an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ionized electron back into the sensitive volume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For low energy (e.g., &lt; 50 keV) photons (e.g.,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125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I), a thin window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GM is at best capable of detecting a minimum of about 0.04 μCi (88,800 dpm)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Therefore, when detecting small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amounts of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125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I, a low energy gamma (LEG) probe is the system required at the University for researchers using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significant quantities of low energy gamma emitters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662EB" w:rsidRDefault="007662EB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</w:p>
    <w:p w:rsidR="007662EB" w:rsidRDefault="00207D20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  <w:r>
        <w:rPr>
          <w:rFonts w:ascii="Times New Roman" w:hAnsi="Times New Roman" w:cs="Helvetica-Bold"/>
          <w:b/>
          <w:bCs/>
          <w:noProof/>
          <w:color w:val="000000"/>
          <w:sz w:val="24"/>
          <w:szCs w:val="20"/>
        </w:rPr>
        <w:drawing>
          <wp:anchor distT="0" distB="0" distL="114300" distR="114300" simplePos="0" relativeHeight="251666432" behindDoc="0" locked="0" layoutInCell="1" allowOverlap="1" wp14:anchorId="302F4DC3" wp14:editId="21C70084">
            <wp:simplePos x="0" y="0"/>
            <wp:positionH relativeFrom="column">
              <wp:posOffset>3785870</wp:posOffset>
            </wp:positionH>
            <wp:positionV relativeFrom="paragraph">
              <wp:posOffset>-1443990</wp:posOffset>
            </wp:positionV>
            <wp:extent cx="1928495" cy="1261745"/>
            <wp:effectExtent l="1905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126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Helvetica-Bold"/>
          <w:b/>
          <w:bCs/>
          <w:color w:val="000000"/>
          <w:sz w:val="24"/>
          <w:szCs w:val="20"/>
        </w:rPr>
        <w:t>Geiger Counter Operations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0"/>
        </w:rPr>
        <w:t xml:space="preserve"> </w:t>
      </w:r>
    </w:p>
    <w:p w:rsidR="007662EB" w:rsidRDefault="007662EB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12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65408" behindDoc="0" locked="0" layoutInCell="1" allowOverlap="1" wp14:anchorId="6A6B9726" wp14:editId="3C928CC8">
            <wp:simplePos x="0" y="0"/>
            <wp:positionH relativeFrom="column">
              <wp:posOffset>5531485</wp:posOffset>
            </wp:positionH>
            <wp:positionV relativeFrom="paragraph">
              <wp:posOffset>3642995</wp:posOffset>
            </wp:positionV>
            <wp:extent cx="1273810" cy="2690495"/>
            <wp:effectExtent l="19050" t="0" r="2540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269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64384" behindDoc="0" locked="0" layoutInCell="1" allowOverlap="1" wp14:anchorId="5D2FB7C9" wp14:editId="0AAA7FC7">
            <wp:simplePos x="0" y="0"/>
            <wp:positionH relativeFrom="column">
              <wp:posOffset>3298825</wp:posOffset>
            </wp:positionH>
            <wp:positionV relativeFrom="paragraph">
              <wp:posOffset>76835</wp:posOffset>
            </wp:positionV>
            <wp:extent cx="2910840" cy="1932940"/>
            <wp:effectExtent l="19050" t="0" r="381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193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Before operating any new piece of equipment for the first time, the user should read the operating manual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becoming familiar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with the controls and operating characteristics of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that system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Although GM survey meters have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similar controls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and readout dials, the controls and switches may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be located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in different places or the readout dial may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utilize different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units (e.g., counts-per-second)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Check the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meter for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physical damage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Check the calibration sticker (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Figure 6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) for the date the meter was calibrated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Meters are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required to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be calibrated at least once a year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Radiation Safety normally sends a letter to each lab when a lab's meter is due for calibration, requesting the lab bring the meter in for calibration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Safety will calibrate most meters' </w:t>
      </w:r>
      <w:r w:rsidR="00877868"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cpm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scale against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known beta emitting radiation sources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Loaner meters are available for the 2 - 3 days required for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calibration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calibration sticker indicates a meter's efficiency (cpm/dpm) for three beta emitters: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14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C/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35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 (E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max</w:t>
      </w:r>
      <w:r>
        <w:rPr>
          <w:rFonts w:ascii="Times New Roman" w:hAnsi="Times New Roman" w:cs="Times New Roman"/>
          <w:color w:val="000000"/>
          <w:sz w:val="24"/>
          <w:szCs w:val="12"/>
        </w:rPr>
        <w:t>≈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160 keV),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99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Tc (E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 xml:space="preserve">max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= 292 keV), and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 (E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 xml:space="preserve">max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= 1.7 MeV -- actually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90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Sr/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90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Y, E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 xml:space="preserve">eff </w:t>
      </w:r>
      <w:r w:rsidRPr="00907FBD">
        <w:rPr>
          <w:rFonts w:ascii="Times New Roman" w:hAnsi="Times New Roman" w:cs="MathB"/>
          <w:color w:val="000000"/>
          <w:sz w:val="24"/>
          <w:szCs w:val="20"/>
        </w:rPr>
        <w:t xml:space="preserve">l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1.7 MeV).</w:t>
      </w:r>
    </w:p>
    <w:p w:rsidR="007662EB" w:rsidRDefault="007662EB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12"/>
        </w:rPr>
      </w:pPr>
    </w:p>
    <w:p w:rsidR="007662EB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Before actually using the meter, you need to check the batteries and insure the system works properly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For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battery check, turn the selector switch to the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BAT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position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readout's needle must move into the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BATT OK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range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If not, the batteries are weak and must be replaced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To conserve battery life, turn off the meter (and speaker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if separate) when not using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662EB" w:rsidRDefault="007662EB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662EB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Check the operability of the detector against the check source which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Safety places on all meters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With the meter and speaker turned on, position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selector switch to the appropriate scale, place the detector window over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check source affixed to the side of the meter, and measure the radiation of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source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Compare the response with that given on the calibration certificate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(Figure 6)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This response should be within ± 20% - 25% of the indicated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response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662EB" w:rsidRDefault="007662EB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662EB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Every portable system detects a low-level of background radiation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Determine this level by turning the selector switch on its lowest scale, pointing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detector away from any radiation work areas and measuring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count-rate with no radiation sources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Note that the meter reading must be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multiplied by the selector switch scale (e.g., X0.1, X1, X10, etc.)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This result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is the background reading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Normal background for thin-window GM meters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is between 20 - 40 cpm and about 150 - 200 cpm for LEG meters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662EB" w:rsidRDefault="007662EB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To perform a meter survey, insure the speaker is turned on, point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probe window at the area or equipment you wish to monitor for radiation 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radioactive contamination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Unless contamination is expected, place the selector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switch on the lowest scale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When surveying or entering contaminated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areas with unknown radiation levels, turn the meter on outside the area, place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selector switch on the highest range setting and adjust the switch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downward to the appropriate scale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Reading the response of the system is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usually a two part process: (1) note the indicated cpm on the readout dial and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(2) multiply the cpm reading by the selector switch setting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For example, in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Figure 7 the needle indicates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3.6K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or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3.7K cpm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and the selector switch is 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X 10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scale, the radiation count rate is about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37,000 cpm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662EB" w:rsidRDefault="007662EB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</w:p>
    <w:p w:rsidR="00B0747F" w:rsidRDefault="00877868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  <w:r w:rsidRPr="00907FBD">
        <w:rPr>
          <w:rFonts w:ascii="Times New Roman" w:hAnsi="Times New Roman" w:cs="Helvetica-Bold"/>
          <w:b/>
          <w:bCs/>
          <w:color w:val="000000"/>
          <w:sz w:val="24"/>
          <w:szCs w:val="20"/>
        </w:rPr>
        <w:t>Geiger Counter Considerations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0"/>
        </w:rPr>
        <w:t xml:space="preserve"> </w:t>
      </w:r>
    </w:p>
    <w:p w:rsidR="00B0747F" w:rsidRDefault="00B0747F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67456" behindDoc="0" locked="0" layoutInCell="1" allowOverlap="1" wp14:anchorId="49F49C08" wp14:editId="4812B539">
            <wp:simplePos x="0" y="0"/>
            <wp:positionH relativeFrom="column">
              <wp:posOffset>3204210</wp:posOffset>
            </wp:positionH>
            <wp:positionV relativeFrom="paragraph">
              <wp:posOffset>3175</wp:posOffset>
            </wp:positionV>
            <wp:extent cx="2503805" cy="164592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In order to produce a count (i.e., a click on the speaker),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incident (beta)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radiation must ionize at least one fill-gas molecule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in the GM tube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We will investigate how the efficiency of a GM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system is affected by three factors: radiation energy, geometry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(i.e., radiation's distance from the detector), and type of radiation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(e.g., </w:t>
      </w:r>
      <w:r>
        <w:rPr>
          <w:rFonts w:ascii="Arial" w:hAnsi="Arial" w:cs="Arial"/>
          <w:color w:val="000000"/>
          <w:sz w:val="24"/>
          <w:szCs w:val="20"/>
        </w:rPr>
        <w:t>β</w:t>
      </w:r>
      <w:r w:rsidR="00877868"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versus </w:t>
      </w:r>
      <w:r>
        <w:rPr>
          <w:rFonts w:ascii="Arial" w:hAnsi="Arial" w:cs="Arial"/>
          <w:color w:val="000000"/>
          <w:sz w:val="24"/>
          <w:szCs w:val="20"/>
        </w:rPr>
        <w:t>γ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) being detected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An understanding of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system's limitations may insure that the detectors are used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correctly and that the results are viable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B0747F" w:rsidRDefault="00B0747F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Table 1 lists: (a) the check sources in our </w:t>
      </w:r>
      <w:r w:rsidR="00B0747F">
        <w:rPr>
          <w:rFonts w:ascii="Arial" w:hAnsi="Arial" w:cs="Arial"/>
          <w:color w:val="000000"/>
          <w:sz w:val="24"/>
          <w:szCs w:val="20"/>
        </w:rPr>
        <w:t>β</w:t>
      </w:r>
      <w:r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source set, (b)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their activity (1 </w:t>
      </w:r>
      <w:r w:rsidRPr="00907FBD">
        <w:rPr>
          <w:rFonts w:ascii="Arial" w:hAnsi="Arial" w:cs="Arial"/>
          <w:color w:val="000000"/>
          <w:sz w:val="24"/>
          <w:szCs w:val="20"/>
        </w:rPr>
        <w:t>􀀜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Ci = 2,220,000 dpm) on the day they were produced (these have such long half-lives that they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have not appreciably decayed since then), and (c) the maximum energy (remember that </w:t>
      </w:r>
      <w:r w:rsidRPr="00907FBD">
        <w:rPr>
          <w:rFonts w:ascii="Arial" w:hAnsi="Arial" w:cs="Arial"/>
          <w:color w:val="000000"/>
          <w:sz w:val="24"/>
          <w:szCs w:val="20"/>
        </w:rPr>
        <w:t>􀀒</w:t>
      </w:r>
      <w:r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particles are emitted with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 spectrum of energies ranging from essentially zero keV to the maximum energy, E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max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, with the most likely and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average energies being approximately </w:t>
      </w:r>
      <w:r w:rsidRPr="00907FBD">
        <w:rPr>
          <w:rFonts w:ascii="Times New Roman" w:hAnsi="Times New Roman" w:cs="LotusWPType"/>
          <w:color w:val="000000"/>
          <w:sz w:val="24"/>
          <w:szCs w:val="20"/>
        </w:rPr>
        <w:t xml:space="preserve">a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maximum energy) of the emitted </w:t>
      </w:r>
      <w:r w:rsidR="00B0747F">
        <w:rPr>
          <w:rFonts w:ascii="Arial" w:hAnsi="Arial" w:cs="Arial"/>
          <w:color w:val="000000"/>
          <w:sz w:val="24"/>
          <w:szCs w:val="20"/>
        </w:rPr>
        <w:t>β</w:t>
      </w:r>
      <w:r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particle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 source is actually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90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Sr-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90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Y source which has equivalent energy by a 29.1 year half-life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</w:p>
    <w:p w:rsidR="00B0747F" w:rsidRDefault="00B0747F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</w:p>
    <w:p w:rsidR="00B0747F" w:rsidRDefault="00877868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Energy versus Efficiency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 </w:t>
      </w:r>
    </w:p>
    <w:p w:rsidR="00207D20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The energy of the emitted radiation is a major factor in a counting system's efficiency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All other things being equal,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efficiency is proportional to energy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To demonstrate this, we will count each check source and determine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system efficiency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thin end-window detector is placed in a SH-3 holder and each source is placed with the mylar window facing up (the radiation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cannot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penetrate through the back of the source) in the center of the sample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holder to assure reproducible sample geometry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Record the approximate counts per minute observed for each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source in Table 2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If each of the radionuclides emits 1 beta particle for each disintegration, calculate efficiency by: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eff = cpm / dpm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Obtain percent efficiency by multiplying that decimal by 100%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207D20" w:rsidRDefault="00207D20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Bold"/>
          <w:b/>
          <w:bCs/>
          <w:noProof/>
          <w:color w:val="000000"/>
          <w:sz w:val="24"/>
          <w:szCs w:val="20"/>
        </w:rPr>
        <w:drawing>
          <wp:inline distT="0" distB="0" distL="0" distR="0" wp14:anchorId="10BF2F24" wp14:editId="11802CFB">
            <wp:extent cx="5976801" cy="2048700"/>
            <wp:effectExtent l="19050" t="0" r="4899" b="0"/>
            <wp:docPr id="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473" cy="2049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47F" w:rsidRDefault="00B0747F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B0747F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68480" behindDoc="0" locked="0" layoutInCell="1" allowOverlap="1" wp14:anchorId="7D4A55CC" wp14:editId="27CA714A">
            <wp:simplePos x="0" y="0"/>
            <wp:positionH relativeFrom="column">
              <wp:posOffset>3630930</wp:posOffset>
            </wp:positionH>
            <wp:positionV relativeFrom="paragraph">
              <wp:posOffset>79375</wp:posOffset>
            </wp:positionV>
            <wp:extent cx="2560320" cy="2166620"/>
            <wp:effectExtent l="19050" t="0" r="0" b="0"/>
            <wp:wrapSquare wrapText="bothSides"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16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Comparing the efficiencies, you will notice that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higher the energy of the </w:t>
      </w:r>
      <w:r>
        <w:rPr>
          <w:rFonts w:ascii="Arial" w:hAnsi="Arial" w:cs="Arial"/>
          <w:color w:val="000000"/>
          <w:sz w:val="24"/>
          <w:szCs w:val="20"/>
        </w:rPr>
        <w:t>β</w:t>
      </w:r>
      <w:r w:rsidR="00877868"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radiation, the higher the detector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efficiency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</w:t>
      </w:r>
      <w:r w:rsidR="00877868" w:rsidRPr="00907FBD">
        <w:rPr>
          <w:rFonts w:ascii="Times New Roman" w:eastAsia="MS Gothic" w:hAnsi="MS Gothic" w:cs="MS Gothic" w:hint="eastAsia"/>
          <w:color w:val="000000"/>
          <w:sz w:val="24"/>
          <w:szCs w:val="20"/>
        </w:rPr>
        <w:t>✳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-graph in Figure 8 shows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relationship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between maximum </w:t>
      </w:r>
      <w:r>
        <w:rPr>
          <w:rFonts w:ascii="Arial" w:hAnsi="Arial" w:cs="Arial"/>
          <w:color w:val="000000"/>
          <w:sz w:val="24"/>
          <w:szCs w:val="20"/>
        </w:rPr>
        <w:t>β</w:t>
      </w:r>
      <w:r w:rsidR="00877868"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energy and efficiency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When conducting the experiment, we actually used a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90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source to simulate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P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While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90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Sr only emits a 540 keV </w:t>
      </w:r>
      <w:r>
        <w:rPr>
          <w:rFonts w:ascii="Arial" w:hAnsi="Arial" w:cs="Arial"/>
          <w:color w:val="000000"/>
          <w:sz w:val="24"/>
          <w:szCs w:val="20"/>
        </w:rPr>
        <w:t>β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it then decays to another (i.e., daughter) radioactive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isotope,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90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Y which emits a </w:t>
      </w:r>
      <w:r>
        <w:rPr>
          <w:rFonts w:ascii="Arial" w:hAnsi="Arial" w:cs="Arial"/>
          <w:color w:val="000000"/>
          <w:sz w:val="24"/>
          <w:szCs w:val="20"/>
        </w:rPr>
        <w:t xml:space="preserve">β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particle with an energy of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2.281 MeV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 average energy of this combination is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very nearly the average energy of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P and can be used to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simulate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P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Thus, the graph shows that, in general, </w:t>
      </w:r>
      <w:r w:rsidR="00877868"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the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higher the </w:t>
      </w:r>
      <w:r>
        <w:rPr>
          <w:rFonts w:ascii="Arial" w:hAnsi="Arial" w:cs="Arial"/>
          <w:color w:val="000000"/>
          <w:sz w:val="24"/>
          <w:szCs w:val="20"/>
        </w:rPr>
        <w:t>β</w:t>
      </w:r>
      <w:r w:rsidR="00877868"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energy, the higher the efficiency of the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thin-window detector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Notice the energy-efficiency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relationship is not linear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This is because the graph is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based on maximum beta energy and betas are emitted in 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spectrum of energies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Also, there is a point of zero (0)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efficiency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For E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 xml:space="preserve">max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&lt; 100 kev, the beta particle does not have enough energy to penetrate the window and be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counted and therefore nuclides like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H and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63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N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cannot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be detected with GM tubes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B0747F" w:rsidRDefault="00B0747F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</w:p>
    <w:p w:rsidR="00B0747F" w:rsidRDefault="00877868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Distance versus Efficiency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 </w:t>
      </w:r>
    </w:p>
    <w:p w:rsidR="008C45E5" w:rsidRDefault="00B0747F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69504" behindDoc="0" locked="0" layoutInCell="1" allowOverlap="1" wp14:anchorId="1C68F93B" wp14:editId="022DFBA4">
            <wp:simplePos x="0" y="0"/>
            <wp:positionH relativeFrom="column">
              <wp:posOffset>3429635</wp:posOffset>
            </wp:positionH>
            <wp:positionV relativeFrom="paragraph">
              <wp:posOffset>75565</wp:posOffset>
            </wp:positionV>
            <wp:extent cx="2203450" cy="2220595"/>
            <wp:effectExtent l="19050" t="0" r="6350" b="0"/>
            <wp:wrapSquare wrapText="bothSides"/>
            <wp:docPr id="1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-Roman"/>
          <w:color w:val="000000"/>
          <w:sz w:val="24"/>
          <w:szCs w:val="20"/>
        </w:rPr>
        <w:t>G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amma-radiation exposure from a point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source followed the </w:t>
      </w:r>
      <w:r w:rsidR="00877868" w:rsidRPr="00907FBD">
        <w:rPr>
          <w:rFonts w:ascii="Times New Roman" w:hAnsi="Times New Roman" w:cs="Times-BoldItalic"/>
          <w:b/>
          <w:bCs/>
          <w:i/>
          <w:iCs/>
          <w:color w:val="000000"/>
          <w:sz w:val="24"/>
          <w:szCs w:val="20"/>
        </w:rPr>
        <w:t>inverse square law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Although beta particles are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not as penetrating as gamma-rays, for relatively short distances (&lt; 5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cm) this law may also apply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We shall consider the effect distance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(geometry) has on the count rate (and consequently on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efficiency)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Radiation is emitted from the source in all directions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(i.e., a 4</w:t>
      </w:r>
      <w:r>
        <w:rPr>
          <w:rFonts w:ascii="Arial" w:hAnsi="Arial" w:cs="Arial"/>
          <w:color w:val="000000"/>
          <w:sz w:val="24"/>
          <w:szCs w:val="20"/>
        </w:rPr>
        <w:t>π</w:t>
      </w:r>
      <w:r w:rsidR="00877868"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sphere -- Figure 9, left)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When the detector is close (i.e.,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essentially forming a 2</w:t>
      </w:r>
      <w:r>
        <w:rPr>
          <w:rFonts w:ascii="Arial" w:hAnsi="Arial" w:cs="Arial"/>
          <w:color w:val="000000"/>
          <w:sz w:val="24"/>
          <w:szCs w:val="20"/>
        </w:rPr>
        <w:t>π</w:t>
      </w:r>
      <w:r w:rsidR="00877868"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hemisphere -- Figure 9, center) to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source, nearly all of the energetic particles which are emitted in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upward direction toward the detector and penetrate the thin-window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create one or more ion pairs and, consequently, produce a pulse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which is counted by the meter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As the detector is moved away from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 source of radiation (Figure 9, right), many beta particles are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emitted at angles which allow them to miss the detector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In this case, the number of particles in-line with the detector is reduced from the 2</w:t>
      </w:r>
      <w:r w:rsidR="00877868" w:rsidRPr="00907FBD">
        <w:rPr>
          <w:rFonts w:ascii="Arial" w:hAnsi="Arial" w:cs="Arial"/>
          <w:color w:val="000000"/>
          <w:sz w:val="24"/>
          <w:szCs w:val="20"/>
        </w:rPr>
        <w:t>􀀟</w:t>
      </w:r>
      <w:r w:rsidR="00877868"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situation, resulting in a much smaller count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rate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8C45E5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To demonstrate the effect of geometry, we will use a high activity source and slowly increase the distance from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tube while listening to the count-rate on the meter's speaker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In such a manner, you can hear the effect of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geometry on count-rate and observe that there is a point at which efficiency is 0% (i.e., count rate is background)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70528" behindDoc="0" locked="0" layoutInCell="1" allowOverlap="1" wp14:anchorId="391B86B0" wp14:editId="700AEC0C">
            <wp:simplePos x="0" y="0"/>
            <wp:positionH relativeFrom="column">
              <wp:posOffset>3114675</wp:posOffset>
            </wp:positionH>
            <wp:positionV relativeFrom="paragraph">
              <wp:posOffset>109220</wp:posOffset>
            </wp:positionV>
            <wp:extent cx="2684145" cy="2207260"/>
            <wp:effectExtent l="19050" t="0" r="1905" b="0"/>
            <wp:wrapSquare wrapText="bothSides"/>
            <wp:docPr id="1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145" cy="220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To graphically show this point, we plotted the data from our 3 check sources which emit only a single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beta particle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per decay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graph in Figure 10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illustrates two concepts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Regardless of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distance, the higher the maximum beta energy,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higher the efficiency (see Figure 8);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however, at distances greater than 3 cm,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efficiency is less than 10%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Secondly, at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distances less than 1 cm, even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14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 has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relatively good detection efficiencies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Thus,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farther the detector is from the source of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contamination when doing a survey, the less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likely it will be able to detect radioactivity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When doing a contamination survey,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detector should be within approximately 1 cm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of the surface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Even at 1 cm the system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efficiency (taking into consideration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attenuating effects of the probes protective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cover, etc.) for a low energy beta (e.g.,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14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35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S), is likely to be between 1 and 3% (depending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upon detector used)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</w:p>
    <w:p w:rsidR="008C45E5" w:rsidRDefault="00877868" w:rsidP="00D95C07">
      <w:pPr>
        <w:spacing w:after="0" w:line="240" w:lineRule="auto"/>
        <w:rPr>
          <w:rFonts w:ascii="Times New Roman" w:hAnsi="Times New Roman" w:cs="Times-Bold"/>
          <w:b/>
          <w:bCs/>
          <w:color w:val="000000"/>
          <w:sz w:val="24"/>
          <w:szCs w:val="20"/>
        </w:rPr>
      </w:pP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Sensitivity of Detector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 </w:t>
      </w:r>
    </w:p>
    <w:p w:rsidR="008C45E5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In radiation detection, the term </w:t>
      </w:r>
      <w:r w:rsidRPr="00907FBD">
        <w:rPr>
          <w:rFonts w:ascii="Times New Roman" w:hAnsi="Times New Roman" w:cs="Times-BoldItalic"/>
          <w:b/>
          <w:bCs/>
          <w:i/>
          <w:iCs/>
          <w:color w:val="000000"/>
          <w:sz w:val="24"/>
          <w:szCs w:val="20"/>
        </w:rPr>
        <w:t xml:space="preserve">sensitivity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means the ability of a detector to detect the type of radiation at the levels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of interest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One example of a system that is not sensitive to low-energy beta radiation is a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compensated GM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This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system cannot detect low energy </w:t>
      </w:r>
      <w:r w:rsidRPr="00907FBD">
        <w:rPr>
          <w:rFonts w:ascii="Arial" w:hAnsi="Arial" w:cs="Arial"/>
          <w:color w:val="000000"/>
          <w:sz w:val="24"/>
          <w:szCs w:val="20"/>
        </w:rPr>
        <w:t>􀀒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-particles because the particles are unable to penetrate the wall and enter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detector tube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Thin-window GM detectors are sensitive to </w:t>
      </w:r>
      <w:r w:rsidRPr="00907FBD">
        <w:rPr>
          <w:rFonts w:ascii="Arial" w:hAnsi="Arial" w:cs="Arial"/>
          <w:color w:val="000000"/>
          <w:sz w:val="24"/>
          <w:szCs w:val="20"/>
        </w:rPr>
        <w:t>􀀒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-particles with maximum energies (E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max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) greater than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100 keV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Workers using quantities of </w:t>
      </w:r>
      <w:r w:rsidRPr="00907FBD">
        <w:rPr>
          <w:rFonts w:ascii="Arial" w:hAnsi="Arial" w:cs="Arial"/>
          <w:color w:val="000000"/>
          <w:sz w:val="24"/>
          <w:szCs w:val="20"/>
        </w:rPr>
        <w:t>􀀓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-emitting isotopes (i.e.,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125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I,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51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Cr) in excess of 3.7 MBq (0.1 mCi) are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required to also have scintillation detectors (see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7.4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) to measure the low energy x- / </w:t>
      </w:r>
      <w:r w:rsidRPr="00907FBD">
        <w:rPr>
          <w:rFonts w:ascii="Arial" w:hAnsi="Arial" w:cs="Arial"/>
          <w:color w:val="000000"/>
          <w:sz w:val="24"/>
          <w:szCs w:val="20"/>
        </w:rPr>
        <w:t>􀀓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-rays emitted from these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isotopes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 scintillation detector uses a crystal of sodium-iodide (NaI) which has a density of 3.67 gm/cm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 xml:space="preserve">3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(much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denser than the GM tube gas)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Low-energy gamma-rays are easily absorbed in this crystal producing light pulses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8C45E5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To demonstrate the need for a special detector, we will use an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129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 check source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Iodine-129 decays by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emission of a </w:t>
      </w:r>
      <w:r w:rsidRPr="00907FBD">
        <w:rPr>
          <w:rFonts w:ascii="Arial" w:hAnsi="Arial" w:cs="Arial"/>
          <w:color w:val="000000"/>
          <w:sz w:val="24"/>
          <w:szCs w:val="20"/>
        </w:rPr>
        <w:t>􀀒</w:t>
      </w:r>
      <w:r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particle with a maximum energy of 153 keV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beta energy is absorbed by the plastic of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source housing and does not penetrate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There are also </w:t>
      </w:r>
      <w:r w:rsidRPr="00907FBD">
        <w:rPr>
          <w:rFonts w:ascii="Arial" w:hAnsi="Arial" w:cs="Arial"/>
          <w:color w:val="000000"/>
          <w:sz w:val="24"/>
          <w:szCs w:val="20"/>
        </w:rPr>
        <w:t>􀀓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-rays and characteristic x-rays accompanying this decay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These x-rays have energies between 29 and 39 keV and for each beta decay there is approximately 0.78 x- and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-rays emitted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With the source being used there are approximately 200,000 </w:t>
      </w:r>
      <w:r w:rsidRPr="00907FBD">
        <w:rPr>
          <w:rFonts w:ascii="Arial" w:hAnsi="Arial" w:cs="Arial"/>
          <w:color w:val="000000"/>
          <w:sz w:val="24"/>
          <w:szCs w:val="20"/>
        </w:rPr>
        <w:t>􀀓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-rays per minute being emitted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will look at a thin-window GM response to these </w:t>
      </w:r>
      <w:r w:rsidRPr="00907FBD">
        <w:rPr>
          <w:rFonts w:ascii="Arial" w:hAnsi="Arial" w:cs="Arial"/>
          <w:color w:val="000000"/>
          <w:sz w:val="24"/>
          <w:szCs w:val="20"/>
        </w:rPr>
        <w:t>􀀓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-rays by first the source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Then we will count the source on 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low-energy gamma (i.e., scintillation) detector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Note that when you count the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129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 source on the GM, you get essentially background but when you use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low-energy gamma probe, the count rate is significant and noticeably high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You can see how a person using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wrong meter may misinterpret the results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8C45E5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You may wonder why there is such a dramatic difference between the GM (first) and low-energy gamma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(second) counts when there are just as many gamma rays getting to the detector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Gamma rays are more penetrating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and they don't interact as often as beta-particles interact (i.e., the probability of an ionizing interaction is much less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per millimeter of path [cf.,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1.2.f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] than for beta-particles)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Most of the counts seen in the GM result from interactions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that occurred in the metal wall of the GM knocking ionized electrons into the gas which are then counted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thin window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GM is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not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sensitive to gamma rays and should not be used to measure or detect such radiation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These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meters are meant to survey for a </w:t>
      </w:r>
      <w:r w:rsidR="008C45E5">
        <w:rPr>
          <w:rFonts w:ascii="Arial" w:hAnsi="Arial" w:cs="Arial"/>
          <w:color w:val="000000"/>
          <w:sz w:val="24"/>
          <w:szCs w:val="20"/>
        </w:rPr>
        <w:t>β</w:t>
      </w:r>
      <w:r w:rsidRPr="00907FBD">
        <w:rPr>
          <w:rFonts w:ascii="Times New Roman" w:hAnsi="Times New Roman" w:cs="MathA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emitter and beta contamination, with the cpm response indicative of the quantity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of contamination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When these meters are sent to the Safety Department for annual calibration, their response to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beta particles is measured and they are adjusted so the cpm scale accurately reflects the number of particles incident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on the sensitive volume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8C45E5" w:rsidRDefault="008C45E5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71552" behindDoc="0" locked="0" layoutInCell="1" allowOverlap="1" wp14:anchorId="6E0E7E98" wp14:editId="3D1B7F56">
            <wp:simplePos x="0" y="0"/>
            <wp:positionH relativeFrom="column">
              <wp:posOffset>3500755</wp:posOffset>
            </wp:positionH>
            <wp:positionV relativeFrom="paragraph">
              <wp:posOffset>27305</wp:posOffset>
            </wp:positionV>
            <wp:extent cx="2279650" cy="2950845"/>
            <wp:effectExtent l="19050" t="0" r="6350" b="0"/>
            <wp:wrapSquare wrapText="bothSides"/>
            <wp:docPr id="1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2950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Scintillation detectors are normally used for detection of gamma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and x-rays and/or high-energy beta radiation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 type and energy of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radiation detected depends on the type and thickness of the scintillator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used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Low energy Gamma (LEG) probes are highly efficient for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low-energy gamma rays in the 20 to 70 keV range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They normally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use NaI crystals approximately 0.04" to 0.08" thick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Figure 11 is 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graph of the response of one such LEG detector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Because higher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energy gamma rays are more penetrating, scintillation detectors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designed to detect and measure photons with energies between 100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keV and 2 MeV are thicker, often more than 1" thick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However,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very thickness of the detector limits its usefulness at the lower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energies because the light produced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cannot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penetrate through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crystal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In recent years, progress has been made in the field of plastic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scintillators for detecting beta particles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These substances are like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encapsulating liquid scintillation cocktail in a probe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 detectors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are often very thin, usually about 0.01" (0.025 mm) thick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Some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manufacturers also couple plastic scintillators with thin (0.04" - 0.08")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NaI crystals to produce a portable system sensitive to both low energy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gamma-rays and beta particles with E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 xml:space="preserve">max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&gt; 67 keV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8C45E5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Scintillation detectors can have very high efficiencies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Figure 11 graphs the relative response of a LEG detector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in counts per photon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Again notice that the efficiency is highly energy dependent; but in the region that this system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is designed to operate, very high efficiencies are possible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For example, using a LEG detector to survey for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125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photon energy = 35.5 keV, expect (2</w:t>
      </w:r>
      <w:r w:rsidRPr="00907FBD">
        <w:rPr>
          <w:rFonts w:ascii="Arial" w:hAnsi="Arial" w:cs="Arial"/>
          <w:color w:val="000000"/>
          <w:sz w:val="24"/>
          <w:szCs w:val="20"/>
        </w:rPr>
        <w:t>􀀟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) efficiencies between 40% to more than 90% depending upon the type of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probe and the scintillator thickness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Systems which couple gamma and beta scintillators in the same probe have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advertised efficiencies of 16% for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14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 and 38% for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125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It should be noted that the high gamma-ray sensitivity comes with a penalty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background on these detectors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is often several hundred counts per minute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advertised background of the LEG detector in Figure 11 is 160 -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200 cpm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If a lab is considering buying a portable scintillation system, contact the Safety Office for information 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 proper system for your situation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4"/>
        </w:rPr>
      </w:pPr>
    </w:p>
    <w:p w:rsidR="008C45E5" w:rsidRDefault="008C45E5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  <w:r>
        <w:rPr>
          <w:rFonts w:ascii="Times New Roman" w:hAnsi="Times New Roman" w:cs="Helvetica-Bold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62F0D24B" wp14:editId="4BC06F19">
            <wp:simplePos x="0" y="0"/>
            <wp:positionH relativeFrom="column">
              <wp:posOffset>2709545</wp:posOffset>
            </wp:positionH>
            <wp:positionV relativeFrom="paragraph">
              <wp:posOffset>90805</wp:posOffset>
            </wp:positionV>
            <wp:extent cx="3625215" cy="1802130"/>
            <wp:effectExtent l="19050" t="0" r="0" b="0"/>
            <wp:wrapSquare wrapText="bothSides"/>
            <wp:docPr id="15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180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Helvetica-Bold"/>
          <w:b/>
          <w:bCs/>
          <w:color w:val="000000"/>
          <w:sz w:val="24"/>
          <w:szCs w:val="24"/>
        </w:rPr>
        <w:t>Liquid Scintillation Counters (LSC)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4"/>
        </w:rPr>
        <w:t xml:space="preserve"> </w:t>
      </w:r>
      <w:r w:rsidR="00877868" w:rsidRPr="00907FBD">
        <w:rPr>
          <w:rFonts w:ascii="Times New Roman" w:hAnsi="Times New Roman" w:cs="Helvetica-Bold"/>
          <w:b/>
          <w:bCs/>
          <w:color w:val="000000"/>
          <w:sz w:val="24"/>
          <w:szCs w:val="20"/>
        </w:rPr>
        <w:t>Liquid Scintillation Cocktail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0"/>
        </w:rPr>
        <w:t xml:space="preserve"> </w:t>
      </w:r>
    </w:p>
    <w:p w:rsidR="008C45E5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Liquid scintillation counting is a method of assaying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radioactive samples by dissolving each radioactive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sample in a liquid scintillation cocktail composed of 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solvent (e.g., toluene, xylene, or an alkyl benzene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(biodegradable) solvent), an emulsifier (a detergent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type molecule which ensures proper mixing of aqueous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samples in the organic solvent), and a fluor or fluorescent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solute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purpose of the scintillation cocktail is to convert the energy of the radioactive decay particle into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visible light which can be detected by the scintillation counter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8C45E5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The process of converting the radiation energy to visible light follows three steps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First, the kinetic energy of 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single radioactive decay particle is absorbed in the cocktail by many solvent molecules causing many of them to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become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excited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excited molecules return to their ground states by emitting this excitation energy as either heat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or light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solvent tends to lose most of this energy as heat while the light that is emitted is in the UV region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Ultraviolet light is not easily detected by the liquid scintillation counter's electronics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Thus, the second step in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making cocktails is the addition of fluor molecules to the cocktail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Some of the excitation energy of the solvent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molecules is then transferred to fluor molecules causing the fluors to become excited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In the third step, the fluor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molecules return to ground state by emitting light, the frequency of which is dependent solely upon the fluor used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(e.g., PPO generates light in the blue region [i.e., </w:t>
      </w:r>
      <w:r w:rsidRPr="00907FBD">
        <w:rPr>
          <w:rFonts w:ascii="Times New Roman" w:hAnsi="Times New Roman" w:cs="MathB"/>
          <w:color w:val="000000"/>
          <w:sz w:val="24"/>
          <w:szCs w:val="20"/>
        </w:rPr>
        <w:t xml:space="preserve">l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370 nm, </w:t>
      </w:r>
      <w:r w:rsidRPr="00907FBD">
        <w:rPr>
          <w:rFonts w:ascii="Times New Roman" w:hAnsi="Times New Roman" w:cs="MathB"/>
          <w:color w:val="000000"/>
          <w:sz w:val="24"/>
          <w:szCs w:val="20"/>
        </w:rPr>
        <w:t xml:space="preserve">l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3 eV] of the spectrum)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aim of the cocktail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manufacturers is to develop a cocktail which emits light of the proper frequency for the LSC electronics to detect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8C45E5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The amount of light emitted by the liquid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scintillation cocktail is directly proportional to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energy of the particle, i.e., the higher the energy of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 radioactive particle, the more solvent molecules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are excited, and the more light is generated (Figure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13)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Thus, for example, while the absorption of 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beta particle from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H, which has a maximum possible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beta energy of 18.6 keV and a most probable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energy of approximately 6 keV (</w:t>
      </w:r>
      <w:r w:rsidRPr="00907FBD">
        <w:rPr>
          <w:rFonts w:ascii="Times New Roman" w:hAnsi="Times New Roman" w:cs="LotusWPType"/>
          <w:color w:val="000000"/>
          <w:sz w:val="24"/>
          <w:szCs w:val="20"/>
        </w:rPr>
        <w:t>a</w:t>
      </w:r>
      <w:r w:rsidRPr="00907FBD">
        <w:rPr>
          <w:rFonts w:ascii="Times New Roman" w:hAnsi="Times New Roman" w:cs="MathB"/>
          <w:color w:val="000000"/>
          <w:sz w:val="24"/>
          <w:szCs w:val="20"/>
        </w:rPr>
        <w:t>$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18.6 keV),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might produce a maximum of 30 light photons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absorption of a beta particle from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P, which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has a maximum possible beta energy of 1710 keV,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might produce a maximum of 3300 light photons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Thus, the conversion of energy to light appears to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be linear, 100 times the energy, 100 times the light yield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Just as with a light bulb, the light emitted by fluors in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liquid scintillation cocktail is emitted in all directions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However, it is "directed" into two photomultiplier tubes (PMT)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by surrounding the cocktail vial with mirrored surfaces everywhere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except where the PMTs are located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PMTs are electronic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tubes consisting of two components; a photocathode and 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series (usually 13) of anodes and cathodes (called dynodes) at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increasingly higher voltages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When blue light from the fluors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strikes the photocathode, electrons are ejected, attracted to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dynodes and their number multiplied at each stage (Figure 12)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PMT thus converts the light which it collects into an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electrical pulse and the pulse height at the output of the PMT is proportional to the amount of light energy that was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collected (Figure 13)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C45E5" w:rsidRDefault="008C45E5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</w:p>
    <w:p w:rsidR="008C45E5" w:rsidRDefault="008C45E5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Helvetica-Bold"/>
          <w:b/>
          <w:bCs/>
          <w:noProof/>
          <w:color w:val="000000"/>
          <w:sz w:val="24"/>
          <w:szCs w:val="20"/>
        </w:rPr>
        <w:drawing>
          <wp:anchor distT="0" distB="0" distL="114300" distR="114300" simplePos="0" relativeHeight="251673600" behindDoc="0" locked="0" layoutInCell="1" allowOverlap="1" wp14:anchorId="3072E27B" wp14:editId="42675EB4">
            <wp:simplePos x="0" y="0"/>
            <wp:positionH relativeFrom="column">
              <wp:posOffset>3209290</wp:posOffset>
            </wp:positionH>
            <wp:positionV relativeFrom="paragraph">
              <wp:posOffset>-3810</wp:posOffset>
            </wp:positionV>
            <wp:extent cx="2665095" cy="2899410"/>
            <wp:effectExtent l="19050" t="0" r="1905" b="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095" cy="289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Helvetica-Bold"/>
          <w:b/>
          <w:bCs/>
          <w:color w:val="000000"/>
          <w:sz w:val="24"/>
          <w:szCs w:val="20"/>
        </w:rPr>
        <w:t>Pulse (Signal) Processing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When liquid scintillation counters were first developed,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PMTs were found to generate a lot of random noise pulses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For a 2-inch PMT (i.e., diameter of the face), this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background of noise was greater than 10,000 cpm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This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noise normally appeared in the region 0 - 6 keV where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majority of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H counts also appeared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Obviously, a system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background of 10,000 cpm (especially for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H) would be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useless for sample analysis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To reduce noise, coincidence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circuits were introduced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E7E42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A coincidence circuit (Figure 15) is able to discriminate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between noise pulses and pulses from radiation-produced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scintillation events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In a "real" scintillation event, many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light photons are emitted in all directions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This light will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strike both photocathodes simultaneously (actually within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10 - 30 nsec, 0.000 000 01 sec)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When this occurs, each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PMT will generate a pulse simultaneously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Only when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coincidence circuit detects a pulse from each PMT simultaneously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will the counter register that a beta decay occurred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Because noise pulses are generated randomly from each PMT, the chance of a noise pulse being emitted from both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PMTs simultaneously is very small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If the coincidence circuit detects a pulse from one PMT and not the other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(within 40 nsec), the analyzer will disregard the pulse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This coincidence circuit insures that the liquid scintillation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counter's background will be low (about 20 - 40 cpm)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E7E42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The pulses from the coincidence circuit are digitized and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stored in a 1000 - to 4000-channel multichannel analyzer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(MCA) system where each channel (cf.,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7.6.i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) corresponds to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 small energy interval (i.e., in a 4000-channel system, each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channel is 0.5 keV wide and the system can measure 0 - 2000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keV)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This sorting can be most easily likened to the process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of sorting apples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In an apple sorter, the apples pass over </w:t>
      </w:r>
      <w:r w:rsidR="007E7E42" w:rsidRPr="00907FBD">
        <w:rPr>
          <w:rFonts w:ascii="Times New Roman" w:hAnsi="Times New Roman" w:cs="Times-Roman"/>
          <w:color w:val="000000"/>
          <w:sz w:val="24"/>
          <w:szCs w:val="20"/>
        </w:rPr>
        <w:t>a series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of holes, each hole increasingly larger than the previous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one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As the apples pass over the sieve, they fall through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first hole which is larger than the apple's diameter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apples are then collected in baskets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74624" behindDoc="0" locked="0" layoutInCell="1" allowOverlap="1" wp14:anchorId="12A8E6F3" wp14:editId="74B0BDA8">
            <wp:simplePos x="0" y="0"/>
            <wp:positionH relativeFrom="column">
              <wp:posOffset>4316730</wp:posOffset>
            </wp:positionH>
            <wp:positionV relativeFrom="paragraph">
              <wp:posOffset>-363855</wp:posOffset>
            </wp:positionV>
            <wp:extent cx="1970405" cy="2246630"/>
            <wp:effectExtent l="19050" t="0" r="0" b="0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405" cy="224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7E42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Similarly, the pulses from the coincidence circuit are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sieved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Rather than collecting apples in baskets, each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channel has a scaler (i.e., a counter) which is incremented for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each pulse of corresponding energy (e.g., tells the user how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many apples in each basket)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LSC also has the capability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of changing the sieve, or window, size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Users often set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windows to sort pulses based on the radiation energy they are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most interested in, setting the tritium (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H) window to collect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all pulses above background but less than approximately 19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keV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Similarly, the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14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 window would be set to collect all pulses above 0 keV but less than 160 keV (or above 19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keV but less than 160 keV if a mixed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H /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14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 sample were being counted), and the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 window may be set to collect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all pulses with energies greater than 2 keV but less than 1710 keV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 tip for counting low activity (i.e., environmental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samples) of beta emitters like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14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H, etc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-- Noise can be reduced by setting the lower window above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noise level which usually stops by 2 keV (cf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7.6.l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E7E42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Q 1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If the window settings are used to discriminate pulses based on their amplitude, what would be the window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settings (i.e., Lower Level Discriminator [LLD] and Upper Level Discriminator [ULD]) for counting 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sample containing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 with a maximum energy of 1710 keV?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E7E42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If you were counting both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H and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14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C, what LLD and ULD would you set?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75648" behindDoc="0" locked="0" layoutInCell="1" allowOverlap="1" wp14:anchorId="3B68DDE0" wp14:editId="4114C05A">
            <wp:simplePos x="0" y="0"/>
            <wp:positionH relativeFrom="column">
              <wp:posOffset>3062605</wp:posOffset>
            </wp:positionH>
            <wp:positionV relativeFrom="paragraph">
              <wp:posOffset>151765</wp:posOffset>
            </wp:positionV>
            <wp:extent cx="2384425" cy="1645920"/>
            <wp:effectExtent l="19050" t="0" r="0" b="0"/>
            <wp:wrapSquare wrapText="bothSides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42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Thus, liquid scintillation counters can be used to quantify radioactivity and to measure radioactive contamination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They are ideal for counting radionuclides that decay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by beta emission (e.g.,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H,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14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C,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P,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35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S,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36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Cl, etc.), and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they may also be used to measure low energy gamma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emitters (e.g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125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I)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Although both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51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Cr and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125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I decay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by electron capture with the emission of a gamma ray,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these gamma rays sometimes interact with orbital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electrons of the decaying atom, transferring their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energy to an electron and ejecting it from the atom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 vacancy is filled by an electron from a higher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shell resulting in the production of x-rays and Auger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electrons (cf., </w:t>
      </w:r>
      <w:r w:rsidR="00877868"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1.2.a.4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These conversion and Auger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electrons are readily detected by the LSC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For appropriately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chosen windows, the system efficiency can be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very high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Table 3 shows a typical relationship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between radiation energy and efficiency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E7E42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Q 2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CPM of a 3.7 kBq (0.1 </w:t>
      </w:r>
      <w:r w:rsidRPr="00907FBD">
        <w:rPr>
          <w:rFonts w:ascii="Arial" w:hAnsi="Arial" w:cs="Arial"/>
          <w:color w:val="000000"/>
          <w:sz w:val="24"/>
          <w:szCs w:val="20"/>
        </w:rPr>
        <w:t>􀀜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Ci) of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 sample is 80,000, what is the counter efficiency?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E7E42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CPM of a 3.7 kBq (0.1 </w:t>
      </w:r>
      <w:r w:rsidR="007E7E42">
        <w:rPr>
          <w:rFonts w:ascii="Arial" w:hAnsi="Arial" w:cs="Arial"/>
          <w:color w:val="000000"/>
          <w:sz w:val="24"/>
          <w:szCs w:val="20"/>
        </w:rPr>
        <w:t>µ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Ci) of an unknown sample with a ß yield of 50% (i.e., 1.85 kBq [0.05 </w:t>
      </w:r>
      <w:r w:rsidR="007E7E42">
        <w:rPr>
          <w:rFonts w:ascii="Arial" w:hAnsi="Arial" w:cs="Arial"/>
          <w:color w:val="000000"/>
          <w:sz w:val="24"/>
          <w:szCs w:val="20"/>
        </w:rPr>
        <w:t>µ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Ci] of </w:t>
      </w:r>
      <w:r w:rsidR="007E7E42">
        <w:rPr>
          <w:rFonts w:ascii="Arial" w:hAnsi="Arial" w:cs="Arial"/>
          <w:color w:val="000000"/>
          <w:sz w:val="24"/>
          <w:szCs w:val="20"/>
        </w:rPr>
        <w:t>β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is 80,000, what is the counter efficiency?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E7E42" w:rsidRDefault="00877868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  <w:r w:rsidRPr="00907FBD">
        <w:rPr>
          <w:rFonts w:ascii="Times New Roman" w:hAnsi="Times New Roman" w:cs="Helvetica-Bold"/>
          <w:b/>
          <w:bCs/>
          <w:color w:val="000000"/>
          <w:sz w:val="24"/>
          <w:szCs w:val="20"/>
        </w:rPr>
        <w:t>Quench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0"/>
        </w:rPr>
        <w:t xml:space="preserve"> </w:t>
      </w:r>
    </w:p>
    <w:p w:rsidR="007E7E42" w:rsidRDefault="00876E9E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77696" behindDoc="0" locked="0" layoutInCell="1" allowOverlap="1" wp14:anchorId="54241EB3" wp14:editId="08BAA959">
            <wp:simplePos x="0" y="0"/>
            <wp:positionH relativeFrom="column">
              <wp:posOffset>3532505</wp:posOffset>
            </wp:positionH>
            <wp:positionV relativeFrom="paragraph">
              <wp:posOffset>2366010</wp:posOffset>
            </wp:positionV>
            <wp:extent cx="2750185" cy="2769235"/>
            <wp:effectExtent l="19050" t="0" r="0" b="0"/>
            <wp:wrapSquare wrapText="bothSides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276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7E42"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76672" behindDoc="0" locked="0" layoutInCell="1" allowOverlap="1" wp14:anchorId="7BFF7985" wp14:editId="12E5DA61">
            <wp:simplePos x="0" y="0"/>
            <wp:positionH relativeFrom="column">
              <wp:posOffset>3722370</wp:posOffset>
            </wp:positionH>
            <wp:positionV relativeFrom="paragraph">
              <wp:posOffset>41275</wp:posOffset>
            </wp:positionV>
            <wp:extent cx="2384425" cy="1214755"/>
            <wp:effectExtent l="19050" t="0" r="0" b="0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425" cy="121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Almost anything added to a counting vial by an investigator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as a result of sample processing (e.g., solvents, filters)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can lower the efficiency of the scintillation process by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reducing the number of blue light photons reaching the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PMT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This reduction in counting efficiency is called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quench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There are two basic types of quench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Chemical</w:t>
      </w:r>
      <w:r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quenching occurs when chemical agents added to the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cocktail interfere with the transfer of radiation energy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between the solvent and the fluor (i.e., absorbs beta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energy better than the cocktail so it does not excite as many cocktail molecules) resulting in a reduction and loss of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light and consequent lowered efficiency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For example, carbon tetrachloride absorbs beta energy and radiates infrared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light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Color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quenching arises when (</w:t>
      </w:r>
      <w:r w:rsidR="00877868" w:rsidRPr="00907FBD">
        <w:rPr>
          <w:rFonts w:ascii="Times New Roman" w:hAnsi="Times New Roman" w:cs="MathB"/>
          <w:color w:val="000000"/>
          <w:sz w:val="24"/>
          <w:szCs w:val="20"/>
        </w:rPr>
        <w:t xml:space="preserve">l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3 eV) blue light photons from the fluors are absorbed by colored components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in the cocktail and counting vial (i.e., red [1.9 eV], yellow [2.1 eV] and green [2.4 eV] colors in the counting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vial absorb the blue light emitted from the fluor) resulting in reduced blue light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pulses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Additionally, low energy </w:t>
      </w:r>
      <w:r w:rsidR="007E7E42">
        <w:rPr>
          <w:rFonts w:ascii="Arial" w:hAnsi="Arial" w:cs="Arial"/>
          <w:color w:val="000000"/>
          <w:sz w:val="24"/>
          <w:szCs w:val="20"/>
        </w:rPr>
        <w:t xml:space="preserve">β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radiation may be absorbed in the sample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medium itself (i.e., self-absorption) and never get out to excite a solvent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molecule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E7E42" w:rsidRDefault="00876E9E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78720" behindDoc="0" locked="0" layoutInCell="1" allowOverlap="1" wp14:anchorId="16F786D8" wp14:editId="30FCCA83">
            <wp:simplePos x="0" y="0"/>
            <wp:positionH relativeFrom="column">
              <wp:posOffset>3728720</wp:posOffset>
            </wp:positionH>
            <wp:positionV relativeFrom="paragraph">
              <wp:posOffset>2191385</wp:posOffset>
            </wp:positionV>
            <wp:extent cx="1887855" cy="1867535"/>
            <wp:effectExtent l="19050" t="0" r="0" b="0"/>
            <wp:wrapSquare wrapText="bothSides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186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Because quench absorbs a portion of energy from each decay, quenching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results in two effects (Figure 17): (1) a shift in the pulse spectrum to a lower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energy region, and (2) a reduction in the measured sample cpm (especially low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energy emitters -- Figure 18)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Regardless of the type, quench results in a reduction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of the number of counts registered, and reduces efficiency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All laboratory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samples are quenched to some degree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To properly analyze data, a researcher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often needs results which are independent of quench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Because of quench, the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researcher cannot simply convert cpm to dpm by using the efficiencies listed in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Table 3 (e.g., dpm = cpm / eff)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Rather the effect of quench must be factored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into the conversion if the researchers is interested in the true activity in the vial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E7E42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When properly set, the LSC can report the amount of quench in a sample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All manufacturers determine the sample's quench in the same ways; but they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designate the amount of quench present differently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For example, Beckman uses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an external source of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137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Cs (or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133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Ba or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226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Ra) to determine the samples H-Number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Cesium gamma-rays interact with the cocktail and eject (Compton) electrons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Compton electrons produce a spectrum in the quenched sample that is compared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to the Compton spectrum of a theoretically unquenched sample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shift in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channels (i.e.,, the difference between the channel that an unquenched standard's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inflection point occurs and the channel that the quenched standard's inflection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point occurs) is the sample's </w:t>
      </w:r>
      <w:r w:rsidRPr="00907FBD">
        <w:rPr>
          <w:rFonts w:ascii="Times New Roman" w:hAnsi="Times New Roman" w:cs="Times-BoldItalic"/>
          <w:b/>
          <w:bCs/>
          <w:i/>
          <w:iCs/>
          <w:color w:val="000000"/>
          <w:sz w:val="24"/>
          <w:szCs w:val="20"/>
        </w:rPr>
        <w:t>H-Number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For a Beckman LSC, the greater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H-Number, the greater the amount of quench present and the lower the efficiency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876E9E" w:rsidRDefault="00876E9E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anchor distT="0" distB="0" distL="114300" distR="114300" simplePos="0" relativeHeight="251679744" behindDoc="0" locked="0" layoutInCell="1" allowOverlap="1" wp14:anchorId="6CF1C659" wp14:editId="12533E78">
            <wp:simplePos x="0" y="0"/>
            <wp:positionH relativeFrom="column">
              <wp:posOffset>2748915</wp:posOffset>
            </wp:positionH>
            <wp:positionV relativeFrom="paragraph">
              <wp:posOffset>6350</wp:posOffset>
            </wp:positionV>
            <wp:extent cx="3015615" cy="2403475"/>
            <wp:effectExtent l="19050" t="0" r="0" b="0"/>
            <wp:wrapSquare wrapText="bothSides"/>
            <wp:docPr id="17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5" cy="240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Packard Instruments uses slightly different terminology to describe quench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They still utilize an external (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133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Ba or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137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Cs) standard which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bombards the sample with high energy gamma-rays and the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system analyzes the resultant Compton spectrum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Sample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quench shifts this Compton spectrum and Packard calculates a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BoldItalic"/>
          <w:b/>
          <w:bCs/>
          <w:i/>
          <w:iCs/>
          <w:color w:val="000000"/>
          <w:sz w:val="24"/>
          <w:szCs w:val="20"/>
        </w:rPr>
        <w:t xml:space="preserve">transformed Spectral Index of the External </w:t>
      </w:r>
      <w:r w:rsidR="00877868" w:rsidRPr="00907FBD">
        <w:rPr>
          <w:rFonts w:ascii="Times New Roman" w:hAnsi="Times New Roman" w:cs="Times-Italic"/>
          <w:i/>
          <w:iCs/>
          <w:color w:val="000000"/>
          <w:sz w:val="24"/>
          <w:szCs w:val="20"/>
        </w:rPr>
        <w:t>(</w:t>
      </w:r>
      <w:r w:rsidR="00877868" w:rsidRPr="00907FBD">
        <w:rPr>
          <w:rFonts w:ascii="Times New Roman" w:hAnsi="Times New Roman" w:cs="Times-BoldItalic"/>
          <w:b/>
          <w:bCs/>
          <w:i/>
          <w:iCs/>
          <w:color w:val="000000"/>
          <w:sz w:val="24"/>
          <w:szCs w:val="20"/>
        </w:rPr>
        <w:t>tSIE</w:t>
      </w:r>
      <w:r w:rsidR="00877868" w:rsidRPr="00907FBD">
        <w:rPr>
          <w:rFonts w:ascii="Times New Roman" w:hAnsi="Times New Roman" w:cs="Times-Italic"/>
          <w:i/>
          <w:iCs/>
          <w:color w:val="000000"/>
          <w:sz w:val="24"/>
          <w:szCs w:val="20"/>
        </w:rPr>
        <w:t xml:space="preserve">)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standard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to determine the Quench Indicating Parameter (QIP)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On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Safety's Packard system, </w:t>
      </w:r>
      <w:r w:rsidR="00877868"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H quenched standards with tSIE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ranging between 1000 and 50 give efficiencies of 60% to</w:t>
      </w:r>
      <w:r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="00877868" w:rsidRPr="00907FBD">
        <w:rPr>
          <w:rFonts w:ascii="Times New Roman" w:hAnsi="Times New Roman" w:cs="Times-Roman"/>
          <w:color w:val="000000"/>
          <w:sz w:val="24"/>
          <w:szCs w:val="20"/>
        </w:rPr>
        <w:t>3.3%, respectively (see Figure 7-27 or Figure 23).</w:t>
      </w:r>
    </w:p>
    <w:p w:rsidR="00876E9E" w:rsidRDefault="00876E9E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876E9E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Figure 21 shows these two manufacturer's Quench versus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Efficiency curves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Notice that they are different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Other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manufacturers use different qu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ench numbers (e.g., the QIP on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some Wallac LSC systems varies from 0 - 2</w:t>
      </w:r>
      <w:r w:rsidRPr="00907FBD">
        <w:rPr>
          <w:rFonts w:ascii="Times New Roman" w:hAnsi="Times New Roman" w:cs="LotusWPType"/>
          <w:color w:val="000000"/>
          <w:sz w:val="24"/>
          <w:szCs w:val="20"/>
        </w:rPr>
        <w:t>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), but all LSC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systems relate quench with efficiency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If you want to extrapolate your data taking into account the quench, you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must know the shape of the quench curve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876E9E" w:rsidRDefault="00876E9E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>
        <w:rPr>
          <w:rFonts w:ascii="Times New Roman" w:hAnsi="Times New Roman" w:cs="Times-Roman"/>
          <w:noProof/>
          <w:color w:val="000000"/>
          <w:sz w:val="24"/>
          <w:szCs w:val="20"/>
        </w:rPr>
        <w:drawing>
          <wp:inline distT="0" distB="0" distL="0" distR="0" wp14:anchorId="1E903812" wp14:editId="1DC3C00A">
            <wp:extent cx="5885361" cy="2135068"/>
            <wp:effectExtent l="19050" t="0" r="1089" b="0"/>
            <wp:docPr id="18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571" cy="2138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E9E" w:rsidRDefault="00876E9E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Q 3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 sample has a tSIE quench parameter of 1000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Referring to the description of quench value ranges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for Packard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systems (Figure 21, right), is this sample quenched or unquenched?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</w:p>
    <w:p w:rsidR="007E7E42" w:rsidRDefault="007E7E42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</w:p>
    <w:p w:rsidR="007E7E42" w:rsidRDefault="00877868" w:rsidP="00D95C07">
      <w:pPr>
        <w:spacing w:after="0" w:line="240" w:lineRule="auto"/>
        <w:rPr>
          <w:rFonts w:ascii="Times New Roman" w:hAnsi="Times New Roman" w:cs="Helvetica-Bold"/>
          <w:b/>
          <w:bCs/>
          <w:color w:val="000000"/>
          <w:sz w:val="24"/>
          <w:szCs w:val="20"/>
        </w:rPr>
      </w:pPr>
      <w:r w:rsidRPr="00907FBD">
        <w:rPr>
          <w:rFonts w:ascii="Times New Roman" w:hAnsi="Times New Roman" w:cs="Helvetica-Bold"/>
          <w:b/>
          <w:bCs/>
          <w:color w:val="000000"/>
          <w:sz w:val="24"/>
          <w:szCs w:val="20"/>
        </w:rPr>
        <w:t>Quench Calibration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0"/>
        </w:rPr>
        <w:t xml:space="preserve"> </w:t>
      </w:r>
    </w:p>
    <w:p w:rsidR="007E7E42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>Most of the information about quench is found in the manufacturer's literature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However, users can determine </w:t>
      </w:r>
      <w:r w:rsidR="00907FBD" w:rsidRPr="00907FBD">
        <w:rPr>
          <w:rFonts w:ascii="Times New Roman" w:hAnsi="Times New Roman" w:cs="Times-Roman"/>
          <w:color w:val="000000"/>
          <w:sz w:val="24"/>
          <w:szCs w:val="20"/>
        </w:rPr>
        <w:t>the relationship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between quench and counter efficiency manually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This method uses an external standard, </w:t>
      </w:r>
      <w:r w:rsidR="00907FBD" w:rsidRPr="00907FBD">
        <w:rPr>
          <w:rFonts w:ascii="Times New Roman" w:hAnsi="Times New Roman" w:cs="Times-Roman"/>
          <w:color w:val="000000"/>
          <w:sz w:val="24"/>
          <w:szCs w:val="20"/>
        </w:rPr>
        <w:t>Packard’s Quench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Indicating Parameter (QIP), an</w:t>
      </w:r>
      <w:r w:rsidR="0071476A">
        <w:rPr>
          <w:rFonts w:ascii="Times New Roman" w:hAnsi="Times New Roman" w:cs="Times-Roman"/>
          <w:color w:val="000000"/>
          <w:sz w:val="24"/>
          <w:szCs w:val="20"/>
        </w:rPr>
        <w:t>d a set of "Quenched" standards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E7E42" w:rsidRDefault="007E7E42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71476A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A quenched standard set usually consists of 10 vials each of which contains the same </w:t>
      </w:r>
      <w:r w:rsidR="00907FBD" w:rsidRPr="00907FBD">
        <w:rPr>
          <w:rFonts w:ascii="Times New Roman" w:hAnsi="Times New Roman" w:cs="Times-Roman"/>
          <w:color w:val="000000"/>
          <w:sz w:val="24"/>
          <w:szCs w:val="20"/>
        </w:rPr>
        <w:t>radioactivity (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dpm) but each with differing amounts of the quenching agent,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nitro methane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, added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more quench in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the sample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, the fewer counts that will be detected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The quenched standard set is loaded into the LSC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If necessary,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the LLD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, ULD and Gain are set for the radionuclide and counting is begun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number of counts registered for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each standard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vial as well as the quench parameter is determined by the counter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Because all the standards contain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the same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amount of radioactivity, the efficiency (eff = cpm / dpm) of the counter at various levels of quenching can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be plotted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</w:p>
    <w:p w:rsidR="0071476A" w:rsidRDefault="0071476A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</w:p>
    <w:p w:rsidR="00907FBD" w:rsidRPr="00907FBD" w:rsidRDefault="00877868" w:rsidP="00D95C07">
      <w:pPr>
        <w:spacing w:after="0" w:line="240" w:lineRule="auto"/>
        <w:rPr>
          <w:rFonts w:ascii="Times New Roman" w:hAnsi="Times New Roman" w:cs="Times-Roman"/>
          <w:color w:val="000000"/>
          <w:sz w:val="24"/>
          <w:szCs w:val="20"/>
        </w:rPr>
      </w:pP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Q 4</w:t>
      </w:r>
      <w:r w:rsidR="00876E9E">
        <w:rPr>
          <w:rFonts w:ascii="Times New Roman" w:hAnsi="Times New Roman" w:cs="Times-Bold"/>
          <w:b/>
          <w:bCs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Can you use a tritium quench curve to estimate the activity of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 samples?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Can you use a tritium quench curve to estimate the activity of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63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Ni sample?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Performing a calibration as a practical exercise, count a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 quenched standard set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Each of the standards has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an activity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of 194,433 dpm (about 0.088 </w:t>
      </w:r>
      <w:r w:rsidRPr="00907FBD">
        <w:rPr>
          <w:rFonts w:ascii="Arial" w:hAnsi="Arial" w:cs="Arial"/>
          <w:color w:val="000000"/>
          <w:sz w:val="24"/>
          <w:szCs w:val="20"/>
        </w:rPr>
        <w:t>􀀜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Ci)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If counted in a Packard LSC with the "window" (or counting region A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) Lab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1 -- Radiation Detection and Measurement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291 Figure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21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Quench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Representations Figure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22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Set of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H Quenched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Standards set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to sort energies between 0 keV and 18.6 keV (i.e., the tritium window), calculate the efficiency of each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standard and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correlate it to the quench indicating parameter (tSIE)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Figure 23 summarizes the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quench standard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calibration results, listing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the cpm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and the tSIE for each of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the standards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efficiency for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each sample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is calculated by using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the equation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,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eff = cpm / dpm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="00876E9E" w:rsidRPr="00907FBD">
        <w:rPr>
          <w:rFonts w:ascii="Times New Roman" w:hAnsi="Times New Roman" w:cs="Times-Roman"/>
          <w:color w:val="000000"/>
          <w:sz w:val="24"/>
          <w:szCs w:val="20"/>
        </w:rPr>
        <w:t>Plotting the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 efficiency (y-axis) versus the tSIE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(x-axis) results in the graph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From Figures 17, 18 and 21, we see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that quenching has its greatest effect 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low energy (e.g.,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H,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63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Ni, etc.) samples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This should be obvious when reviewing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Figure 17 where you see that, depending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upon type, quench both reduces the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counts (absorbs energy and re-radiates it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as heat) and reduces the energy (absorbs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some of the light)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Because low energy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emitters are already at the threshold of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detection, this attenuation is more severe than for higher energy emitters (e.g.,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14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C,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P,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35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S,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32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P, etc.) which suffer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only slight degradation in efficiency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To apply quench correction by converting a sample's cpm result into dpm activity using the counter’s quench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parameter, simply interpret the graph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For example, Table 4 lists several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 (E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 xml:space="preserve">max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= 18.6 keV) sample results along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with the quench of each sample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To calculate the true activity (in units of dpm) of the samples, use the QIP to find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the counter's efficiency from Figure 23, then calculate the dpm activity using the equation: </w:t>
      </w:r>
      <w:r w:rsidRPr="00907FBD">
        <w:rPr>
          <w:rFonts w:ascii="Times New Roman" w:hAnsi="Times New Roman" w:cs="Times-Bold"/>
          <w:b/>
          <w:bCs/>
          <w:color w:val="000000"/>
          <w:sz w:val="24"/>
          <w:szCs w:val="20"/>
        </w:rPr>
        <w:t>dpm = cpm / eff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Table 4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 DPM Determination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427 45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2,847 175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5,476 500 47% 11,651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cpm tSIE eff (%) Activity (dpm)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</w:p>
    <w:p w:rsidR="00876E9E" w:rsidRPr="00907FBD" w:rsidRDefault="00877868" w:rsidP="00D95C07">
      <w:pPr>
        <w:spacing w:after="0" w:line="240" w:lineRule="auto"/>
        <w:rPr>
          <w:rFonts w:ascii="Times New Roman" w:hAnsi="Times New Roman"/>
          <w:sz w:val="24"/>
        </w:rPr>
      </w:pPr>
      <w:r w:rsidRPr="00907FBD">
        <w:rPr>
          <w:rFonts w:ascii="Times New Roman" w:hAnsi="Times New Roman" w:cs="Helvetica-Bold"/>
          <w:b/>
          <w:bCs/>
          <w:color w:val="000000"/>
          <w:sz w:val="24"/>
          <w:szCs w:val="20"/>
        </w:rPr>
        <w:t>References</w:t>
      </w:r>
      <w:r w:rsidR="00876E9E">
        <w:rPr>
          <w:rFonts w:ascii="Times New Roman" w:hAnsi="Times New Roman" w:cs="Helvetica-Bold"/>
          <w:b/>
          <w:bCs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Burns, P.D., and Steiner, 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Italic"/>
          <w:i/>
          <w:iCs/>
          <w:color w:val="000000"/>
          <w:sz w:val="24"/>
          <w:szCs w:val="20"/>
        </w:rPr>
        <w:t>Bulletin No</w:t>
      </w:r>
      <w:r w:rsidR="00876E9E">
        <w:rPr>
          <w:rFonts w:ascii="Times New Roman" w:hAnsi="Times New Roman" w:cs="Times-Italic"/>
          <w:i/>
          <w:iCs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Italic"/>
          <w:i/>
          <w:iCs/>
          <w:color w:val="000000"/>
          <w:sz w:val="24"/>
          <w:szCs w:val="20"/>
        </w:rPr>
        <w:t>7885, Advanced Technology Guide for LS 6000 Series Scintillation Counters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,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Beckman Instruments, Inc., April 1991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Hawkins, E.F., and Steiner, R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Italic"/>
          <w:i/>
          <w:iCs/>
          <w:color w:val="000000"/>
          <w:sz w:val="24"/>
          <w:szCs w:val="20"/>
        </w:rPr>
        <w:t>Bulletin No</w:t>
      </w:r>
      <w:r w:rsidR="00876E9E">
        <w:rPr>
          <w:rFonts w:ascii="Times New Roman" w:hAnsi="Times New Roman" w:cs="Times-Italic"/>
          <w:i/>
          <w:iCs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Italic"/>
          <w:i/>
          <w:iCs/>
          <w:color w:val="000000"/>
          <w:sz w:val="24"/>
          <w:szCs w:val="20"/>
        </w:rPr>
        <w:t>7884, Scintillation Supplies and Sample Preparation Guide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, Beckman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Instruments, Inc., April 1991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Packard Instruments Company, </w:t>
      </w:r>
      <w:r w:rsidRPr="00907FBD">
        <w:rPr>
          <w:rFonts w:ascii="Times New Roman" w:hAnsi="Times New Roman" w:cs="Times-Italic"/>
          <w:i/>
          <w:iCs/>
          <w:color w:val="000000"/>
          <w:sz w:val="24"/>
          <w:szCs w:val="20"/>
        </w:rPr>
        <w:t>Basic Liquid Scintillation Counting</w:t>
      </w:r>
      <w:r w:rsidR="00876E9E">
        <w:rPr>
          <w:rFonts w:ascii="Times New Roman" w:hAnsi="Times New Roman" w:cs="Times-Italic"/>
          <w:i/>
          <w:iCs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 xml:space="preserve">Packard Instruments Company, </w:t>
      </w:r>
      <w:r w:rsidRPr="00907FBD">
        <w:rPr>
          <w:rFonts w:ascii="Times New Roman" w:hAnsi="Times New Roman" w:cs="Times-Italic"/>
          <w:i/>
          <w:iCs/>
          <w:color w:val="000000"/>
          <w:sz w:val="24"/>
          <w:szCs w:val="20"/>
        </w:rPr>
        <w:t>Tri-Carb Liquid Scintillation Analyzer, Model 1900 CA, Operations Manual</w:t>
      </w:r>
      <w:r w:rsidR="00876E9E">
        <w:rPr>
          <w:rFonts w:ascii="Times New Roman" w:hAnsi="Times New Roman" w:cs="Times-Italic"/>
          <w:i/>
          <w:iCs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292 Radiation Safety for Radiation Workers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Figure 23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. 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3</w:t>
      </w:r>
      <w:r w:rsidRPr="00907FBD">
        <w:rPr>
          <w:rFonts w:ascii="Times New Roman" w:hAnsi="Times New Roman" w:cs="Times-Roman"/>
          <w:color w:val="000000"/>
          <w:sz w:val="24"/>
          <w:szCs w:val="20"/>
        </w:rPr>
        <w:t>H Quench Curve</w:t>
      </w:r>
      <w:r w:rsidR="00876E9E">
        <w:rPr>
          <w:rFonts w:ascii="Times New Roman" w:hAnsi="Times New Roman" w:cs="Times-Roman"/>
          <w:color w:val="000000"/>
          <w:sz w:val="24"/>
          <w:szCs w:val="20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0 100 200 300 400 500 600</w:t>
      </w:r>
      <w:r w:rsidR="00876E9E">
        <w:rPr>
          <w:rFonts w:ascii="Times New Roman" w:hAnsi="Times New Roman" w:cs="Times-Roman"/>
          <w:color w:val="000000"/>
          <w:sz w:val="24"/>
          <w:szCs w:val="12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5"/>
        </w:rPr>
        <w:t>tSIE</w:t>
      </w:r>
      <w:r w:rsidR="00876E9E">
        <w:rPr>
          <w:rFonts w:ascii="Times New Roman" w:hAnsi="Times New Roman" w:cs="Times-Roman"/>
          <w:color w:val="000000"/>
          <w:sz w:val="24"/>
          <w:szCs w:val="15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5"/>
        </w:rPr>
        <w:t>0</w:t>
      </w:r>
      <w:r w:rsidR="00876E9E">
        <w:rPr>
          <w:rFonts w:ascii="Times New Roman" w:hAnsi="Times New Roman" w:cs="Times-Roman"/>
          <w:color w:val="000000"/>
          <w:sz w:val="24"/>
          <w:szCs w:val="15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5"/>
        </w:rPr>
        <w:t>10</w:t>
      </w:r>
      <w:r w:rsidR="00876E9E">
        <w:rPr>
          <w:rFonts w:ascii="Times New Roman" w:hAnsi="Times New Roman" w:cs="Times-Roman"/>
          <w:color w:val="000000"/>
          <w:sz w:val="24"/>
          <w:szCs w:val="15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5"/>
        </w:rPr>
        <w:t>20</w:t>
      </w:r>
      <w:r w:rsidR="00876E9E">
        <w:rPr>
          <w:rFonts w:ascii="Times New Roman" w:hAnsi="Times New Roman" w:cs="Times-Roman"/>
          <w:color w:val="000000"/>
          <w:sz w:val="24"/>
          <w:szCs w:val="15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5"/>
        </w:rPr>
        <w:t>30</w:t>
      </w:r>
      <w:r w:rsidR="00876E9E">
        <w:rPr>
          <w:rFonts w:ascii="Times New Roman" w:hAnsi="Times New Roman" w:cs="Times-Roman"/>
          <w:color w:val="000000"/>
          <w:sz w:val="24"/>
          <w:szCs w:val="15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5"/>
        </w:rPr>
        <w:t>40</w:t>
      </w:r>
      <w:r w:rsidR="00876E9E">
        <w:rPr>
          <w:rFonts w:ascii="Times New Roman" w:hAnsi="Times New Roman" w:cs="Times-Roman"/>
          <w:color w:val="000000"/>
          <w:sz w:val="24"/>
          <w:szCs w:val="15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5"/>
        </w:rPr>
        <w:t>50</w:t>
      </w:r>
      <w:r w:rsidR="00876E9E">
        <w:rPr>
          <w:rFonts w:ascii="Times New Roman" w:hAnsi="Times New Roman" w:cs="Times-Roman"/>
          <w:color w:val="000000"/>
          <w:sz w:val="24"/>
          <w:szCs w:val="15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5"/>
        </w:rPr>
        <w:t>60</w:t>
      </w:r>
      <w:r w:rsidR="00876E9E">
        <w:rPr>
          <w:rFonts w:ascii="Times New Roman" w:hAnsi="Times New Roman" w:cs="Times-Roman"/>
          <w:color w:val="000000"/>
          <w:sz w:val="24"/>
          <w:szCs w:val="15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5"/>
        </w:rPr>
        <w:t>% Efficiency</w:t>
      </w:r>
      <w:r w:rsidR="00876E9E">
        <w:rPr>
          <w:rFonts w:ascii="Times New Roman" w:hAnsi="Times New Roman" w:cs="Times-Roman"/>
          <w:color w:val="000000"/>
          <w:sz w:val="24"/>
          <w:szCs w:val="15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2"/>
        </w:rPr>
        <w:t>Ch A</w:t>
      </w:r>
      <w:r w:rsidR="00876E9E">
        <w:rPr>
          <w:rFonts w:ascii="Times New Roman" w:hAnsi="Times New Roman" w:cs="Times-Roman"/>
          <w:color w:val="000000"/>
          <w:sz w:val="24"/>
          <w:szCs w:val="12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5"/>
        </w:rPr>
        <w:t xml:space="preserve">Ch A </w:t>
      </w:r>
      <w:r w:rsidRPr="00907FBD">
        <w:rPr>
          <w:rFonts w:ascii="Times New Roman" w:hAnsi="Times New Roman" w:cs="Times-Roman"/>
          <w:color w:val="000000"/>
          <w:sz w:val="24"/>
          <w:szCs w:val="18"/>
        </w:rPr>
        <w:t>H-3 Efficiency vs tSIE</w:t>
      </w:r>
      <w:r w:rsidR="00876E9E">
        <w:rPr>
          <w:rFonts w:ascii="Times New Roman" w:hAnsi="Times New Roman" w:cs="Times-Roman"/>
          <w:color w:val="000000"/>
          <w:sz w:val="24"/>
          <w:szCs w:val="18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518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430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341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279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219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169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123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86.3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45.2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17.9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48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45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39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33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27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20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14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9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3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7"/>
        </w:rPr>
        <w:t>0</w:t>
      </w:r>
      <w:r w:rsidR="00876E9E">
        <w:rPr>
          <w:rFonts w:ascii="Times New Roman" w:hAnsi="Times New Roman" w:cs="Times-Roman"/>
          <w:color w:val="000000"/>
          <w:sz w:val="24"/>
          <w:szCs w:val="17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3"/>
        </w:rPr>
        <w:t>Ch A -- 0.0 - 18.6 keV</w:t>
      </w:r>
      <w:r w:rsidR="00876E9E">
        <w:rPr>
          <w:rFonts w:ascii="Times New Roman" w:hAnsi="Times New Roman" w:cs="Times-Roman"/>
          <w:color w:val="000000"/>
          <w:sz w:val="24"/>
          <w:szCs w:val="13"/>
        </w:rPr>
        <w:t xml:space="preserve"> </w:t>
      </w:r>
      <w:r w:rsidRPr="00907FBD">
        <w:rPr>
          <w:rFonts w:ascii="Times New Roman" w:hAnsi="Times New Roman" w:cs="Times-Roman"/>
          <w:color w:val="000000"/>
          <w:sz w:val="24"/>
          <w:szCs w:val="14"/>
        </w:rPr>
        <w:t>tSIE</w:t>
      </w:r>
      <w:r w:rsidR="00876E9E">
        <w:rPr>
          <w:rFonts w:ascii="Times New Roman" w:hAnsi="Times New Roman"/>
          <w:sz w:val="24"/>
        </w:rPr>
        <w:t xml:space="preserve"> </w:t>
      </w:r>
    </w:p>
    <w:sectPr w:rsidR="00876E9E" w:rsidRPr="00907FBD" w:rsidSect="00704375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/>
      <w:pgMar w:top="1440" w:right="1440" w:bottom="288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450" w:rsidRDefault="001F1450" w:rsidP="001E4AA0">
      <w:pPr>
        <w:spacing w:after="0" w:line="240" w:lineRule="auto"/>
      </w:pPr>
      <w:r>
        <w:separator/>
      </w:r>
    </w:p>
  </w:endnote>
  <w:endnote w:type="continuationSeparator" w:id="0">
    <w:p w:rsidR="001F1450" w:rsidRDefault="001F1450" w:rsidP="001E4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tusWPTyp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B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A0" w:rsidRDefault="001E4A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A0" w:rsidRDefault="001E4A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A0" w:rsidRDefault="001E4A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450" w:rsidRDefault="001F1450" w:rsidP="001E4AA0">
      <w:pPr>
        <w:spacing w:after="0" w:line="240" w:lineRule="auto"/>
      </w:pPr>
      <w:r>
        <w:separator/>
      </w:r>
    </w:p>
  </w:footnote>
  <w:footnote w:type="continuationSeparator" w:id="0">
    <w:p w:rsidR="001F1450" w:rsidRDefault="001F1450" w:rsidP="001E4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A0" w:rsidRDefault="001E4A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A0" w:rsidRDefault="001E4A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AA0" w:rsidRDefault="001E4A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4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68"/>
    <w:rsid w:val="000F6D80"/>
    <w:rsid w:val="001410B4"/>
    <w:rsid w:val="001E4AA0"/>
    <w:rsid w:val="001F1450"/>
    <w:rsid w:val="00207D20"/>
    <w:rsid w:val="003D188E"/>
    <w:rsid w:val="00673B20"/>
    <w:rsid w:val="00704375"/>
    <w:rsid w:val="0071476A"/>
    <w:rsid w:val="0076290D"/>
    <w:rsid w:val="007662EB"/>
    <w:rsid w:val="007C14A7"/>
    <w:rsid w:val="007E7E42"/>
    <w:rsid w:val="00840222"/>
    <w:rsid w:val="00876E9E"/>
    <w:rsid w:val="00877868"/>
    <w:rsid w:val="00891194"/>
    <w:rsid w:val="008C45E5"/>
    <w:rsid w:val="00907FBD"/>
    <w:rsid w:val="00982658"/>
    <w:rsid w:val="009A418A"/>
    <w:rsid w:val="009A7D00"/>
    <w:rsid w:val="00AF5D27"/>
    <w:rsid w:val="00B0747F"/>
    <w:rsid w:val="00D95C07"/>
    <w:rsid w:val="00ED00E0"/>
    <w:rsid w:val="00FA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8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4A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AA0"/>
  </w:style>
  <w:style w:type="paragraph" w:styleId="Footer">
    <w:name w:val="footer"/>
    <w:basedOn w:val="Normal"/>
    <w:link w:val="FooterChar"/>
    <w:uiPriority w:val="99"/>
    <w:unhideWhenUsed/>
    <w:rsid w:val="001E4A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AA0"/>
  </w:style>
  <w:style w:type="paragraph" w:styleId="NormalWeb">
    <w:name w:val="Normal (Web)"/>
    <w:basedOn w:val="Normal"/>
    <w:uiPriority w:val="99"/>
    <w:unhideWhenUsed/>
    <w:rsid w:val="0070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8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4A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AA0"/>
  </w:style>
  <w:style w:type="paragraph" w:styleId="Footer">
    <w:name w:val="footer"/>
    <w:basedOn w:val="Normal"/>
    <w:link w:val="FooterChar"/>
    <w:uiPriority w:val="99"/>
    <w:unhideWhenUsed/>
    <w:rsid w:val="001E4A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AA0"/>
  </w:style>
  <w:style w:type="paragraph" w:styleId="NormalWeb">
    <w:name w:val="Normal (Web)"/>
    <w:basedOn w:val="Normal"/>
    <w:uiPriority w:val="99"/>
    <w:unhideWhenUsed/>
    <w:rsid w:val="0070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1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5873</Words>
  <Characters>33480</Characters>
  <Application>Microsoft Office Word</Application>
  <DocSecurity>0</DocSecurity>
  <Lines>279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 River State College</Company>
  <LinksUpToDate>false</LinksUpToDate>
  <CharactersWithSpaces>39275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Peggy Hines IRSC</cp:lastModifiedBy>
  <cp:revision>2</cp:revision>
  <dcterms:created xsi:type="dcterms:W3CDTF">2013-03-12T13:44:00Z</dcterms:created>
  <dcterms:modified xsi:type="dcterms:W3CDTF">2013-03-12T13:44:00Z</dcterms:modified>
</cp:coreProperties>
</file>