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7A132D" w14:textId="77777777" w:rsidR="004E56CF" w:rsidRPr="00B03158" w:rsidRDefault="004E56CF" w:rsidP="004E56CF">
      <w:pPr>
        <w:jc w:val="center"/>
        <w:rPr>
          <w:b/>
          <w:sz w:val="32"/>
        </w:rPr>
      </w:pPr>
      <w:r w:rsidRPr="00B03158">
        <w:rPr>
          <w:b/>
          <w:sz w:val="32"/>
        </w:rPr>
        <w:t>Southwest Center for Microsystems Education (SCME)</w:t>
      </w:r>
    </w:p>
    <w:p w14:paraId="743E9CA1" w14:textId="77777777" w:rsidR="004E56CF" w:rsidRPr="00B03158" w:rsidRDefault="004E56CF" w:rsidP="004E56CF">
      <w:pPr>
        <w:jc w:val="center"/>
        <w:rPr>
          <w:b/>
          <w:sz w:val="32"/>
        </w:rPr>
      </w:pPr>
      <w:r w:rsidRPr="00B03158">
        <w:rPr>
          <w:b/>
          <w:sz w:val="32"/>
        </w:rPr>
        <w:t>University of New Mexico</w:t>
      </w:r>
    </w:p>
    <w:p w14:paraId="210BD349" w14:textId="77777777" w:rsidR="004E56CF" w:rsidRDefault="004E56CF" w:rsidP="004E56CF">
      <w:pPr>
        <w:jc w:val="center"/>
        <w:rPr>
          <w:b/>
          <w:sz w:val="32"/>
        </w:rPr>
      </w:pPr>
    </w:p>
    <w:p w14:paraId="5DB568AA" w14:textId="77777777" w:rsidR="004E56CF" w:rsidRDefault="004E56CF" w:rsidP="001F4B8C">
      <w:pPr>
        <w:rPr>
          <w:b/>
          <w:sz w:val="32"/>
        </w:rPr>
      </w:pPr>
    </w:p>
    <w:p w14:paraId="137D3719" w14:textId="77777777" w:rsidR="00173F72" w:rsidRPr="00A05FAF" w:rsidRDefault="0048434C" w:rsidP="00173F72">
      <w:pPr>
        <w:jc w:val="center"/>
        <w:rPr>
          <w:b/>
          <w:color w:val="C00000"/>
          <w:sz w:val="56"/>
        </w:rPr>
      </w:pPr>
      <w:r>
        <w:rPr>
          <w:b/>
          <w:color w:val="C00000"/>
          <w:sz w:val="56"/>
        </w:rPr>
        <w:t>Units of Weights and Measures</w:t>
      </w:r>
    </w:p>
    <w:p w14:paraId="45B77ECB" w14:textId="77777777" w:rsidR="004E56CF" w:rsidRPr="00A05FAF" w:rsidRDefault="00F00AB7" w:rsidP="004E56CF">
      <w:pPr>
        <w:jc w:val="center"/>
        <w:rPr>
          <w:b/>
          <w:color w:val="C00000"/>
          <w:sz w:val="56"/>
        </w:rPr>
      </w:pPr>
      <w:r>
        <w:rPr>
          <w:b/>
          <w:color w:val="C00000"/>
          <w:sz w:val="56"/>
        </w:rPr>
        <w:t>Learning Module</w:t>
      </w:r>
    </w:p>
    <w:p w14:paraId="2B87FAE1" w14:textId="77777777" w:rsidR="004E56CF" w:rsidRDefault="004E56CF" w:rsidP="004E56CF">
      <w:pPr>
        <w:jc w:val="center"/>
        <w:rPr>
          <w:b/>
          <w:sz w:val="32"/>
        </w:rPr>
      </w:pPr>
    </w:p>
    <w:p w14:paraId="1AB04802" w14:textId="77777777" w:rsidR="00F00AB7" w:rsidRPr="00B37343" w:rsidRDefault="00F00AB7" w:rsidP="00F00AB7">
      <w:pPr>
        <w:jc w:val="center"/>
        <w:rPr>
          <w:sz w:val="28"/>
          <w:u w:val="single"/>
        </w:rPr>
      </w:pPr>
      <w:r w:rsidRPr="00B37343">
        <w:rPr>
          <w:sz w:val="28"/>
          <w:u w:val="single"/>
        </w:rPr>
        <w:t xml:space="preserve">This booklet contains </w:t>
      </w:r>
      <w:r w:rsidR="000D7C1C">
        <w:rPr>
          <w:sz w:val="28"/>
          <w:u w:val="single"/>
        </w:rPr>
        <w:t>five (5)</w:t>
      </w:r>
      <w:r w:rsidRPr="00B37343">
        <w:rPr>
          <w:sz w:val="28"/>
          <w:u w:val="single"/>
        </w:rPr>
        <w:t xml:space="preserve"> </w:t>
      </w:r>
      <w:r w:rsidR="001F4B8C">
        <w:rPr>
          <w:sz w:val="28"/>
          <w:u w:val="single"/>
        </w:rPr>
        <w:t>units</w:t>
      </w:r>
      <w:r w:rsidRPr="00B37343">
        <w:rPr>
          <w:sz w:val="28"/>
          <w:u w:val="single"/>
        </w:rPr>
        <w:t>:</w:t>
      </w:r>
    </w:p>
    <w:p w14:paraId="77C72607" w14:textId="77777777" w:rsidR="000D7C1C" w:rsidRDefault="000D7C1C" w:rsidP="004E56CF">
      <w:pPr>
        <w:jc w:val="center"/>
        <w:rPr>
          <w:sz w:val="28"/>
        </w:rPr>
      </w:pPr>
      <w:r>
        <w:rPr>
          <w:sz w:val="28"/>
        </w:rPr>
        <w:t>Knowledge Probe (Pre-Quiz)</w:t>
      </w:r>
    </w:p>
    <w:p w14:paraId="2E0AC850" w14:textId="77777777" w:rsidR="002F2305" w:rsidRDefault="0048434C" w:rsidP="004E56CF">
      <w:pPr>
        <w:jc w:val="center"/>
        <w:rPr>
          <w:sz w:val="28"/>
        </w:rPr>
      </w:pPr>
      <w:r>
        <w:rPr>
          <w:sz w:val="28"/>
        </w:rPr>
        <w:t>Units of Weights and Measures Primary Knowledge (PK)</w:t>
      </w:r>
    </w:p>
    <w:p w14:paraId="6EB382F2" w14:textId="77777777" w:rsidR="0048434C" w:rsidRDefault="0048434C" w:rsidP="004E56CF">
      <w:pPr>
        <w:jc w:val="center"/>
        <w:rPr>
          <w:sz w:val="28"/>
        </w:rPr>
      </w:pPr>
      <w:r>
        <w:rPr>
          <w:sz w:val="28"/>
        </w:rPr>
        <w:t>Research Activity</w:t>
      </w:r>
    </w:p>
    <w:p w14:paraId="77B36E9A" w14:textId="77777777" w:rsidR="0048434C" w:rsidRDefault="0048434C" w:rsidP="004E56CF">
      <w:pPr>
        <w:jc w:val="center"/>
        <w:rPr>
          <w:sz w:val="28"/>
        </w:rPr>
      </w:pPr>
      <w:r>
        <w:rPr>
          <w:sz w:val="28"/>
        </w:rPr>
        <w:t>Conversion Activity</w:t>
      </w:r>
    </w:p>
    <w:p w14:paraId="39A71157" w14:textId="77777777" w:rsidR="0048434C" w:rsidRDefault="0048434C" w:rsidP="004E56CF">
      <w:pPr>
        <w:jc w:val="center"/>
        <w:rPr>
          <w:sz w:val="28"/>
        </w:rPr>
      </w:pPr>
      <w:r>
        <w:rPr>
          <w:sz w:val="28"/>
        </w:rPr>
        <w:t>Assessment</w:t>
      </w:r>
    </w:p>
    <w:p w14:paraId="59511923" w14:textId="77777777" w:rsidR="00F00AB7" w:rsidRDefault="00F00AB7" w:rsidP="004E56CF">
      <w:pPr>
        <w:jc w:val="center"/>
        <w:rPr>
          <w:sz w:val="28"/>
        </w:rPr>
      </w:pPr>
    </w:p>
    <w:p w14:paraId="173E2816" w14:textId="77777777" w:rsidR="001F4B8C" w:rsidRPr="00DA3AC5" w:rsidRDefault="001F4B8C" w:rsidP="001F4B8C">
      <w:pPr>
        <w:jc w:val="center"/>
        <w:rPr>
          <w:sz w:val="28"/>
        </w:rPr>
      </w:pPr>
      <w:r w:rsidRPr="00DA3AC5">
        <w:rPr>
          <w:sz w:val="28"/>
        </w:rPr>
        <w:t xml:space="preserve">A </w:t>
      </w:r>
      <w:r w:rsidRPr="00634E01">
        <w:rPr>
          <w:sz w:val="28"/>
        </w:rPr>
        <w:t>Learning Module Map</w:t>
      </w:r>
      <w:r w:rsidRPr="00DA3AC5">
        <w:rPr>
          <w:sz w:val="28"/>
        </w:rPr>
        <w:t xml:space="preserve"> is included as a suggested outline on how to use this learning module.</w:t>
      </w:r>
    </w:p>
    <w:p w14:paraId="46949BB3" w14:textId="77777777" w:rsidR="001F4B8C" w:rsidRDefault="001F4B8C" w:rsidP="001F4B8C">
      <w:pPr>
        <w:rPr>
          <w:sz w:val="28"/>
        </w:rPr>
      </w:pPr>
    </w:p>
    <w:p w14:paraId="034E37B2" w14:textId="7C8D26B9" w:rsidR="007755B7" w:rsidRPr="00B01432" w:rsidRDefault="007755B7" w:rsidP="00B01432">
      <w:pPr>
        <w:keepNext/>
        <w:keepLines/>
        <w:jc w:val="center"/>
        <w:rPr>
          <w:i/>
          <w:color w:val="000000"/>
          <w:sz w:val="28"/>
        </w:rPr>
      </w:pPr>
      <w:r w:rsidRPr="007755B7">
        <w:rPr>
          <w:i/>
          <w:color w:val="000000"/>
          <w:sz w:val="28"/>
        </w:rPr>
        <w:t>This learning module provides information on the evolution of the current systems of weights and measures</w:t>
      </w:r>
      <w:r>
        <w:rPr>
          <w:i/>
          <w:color w:val="000000"/>
          <w:sz w:val="28"/>
        </w:rPr>
        <w:t>,</w:t>
      </w:r>
      <w:r w:rsidRPr="007755B7">
        <w:rPr>
          <w:i/>
          <w:color w:val="000000"/>
          <w:sz w:val="28"/>
        </w:rPr>
        <w:t xml:space="preserve"> and an overview of the International Standards of Units and metric system.  Activities provide the opportunity to learn and practice converting from one unit</w:t>
      </w:r>
      <w:r>
        <w:rPr>
          <w:i/>
          <w:color w:val="000000"/>
          <w:sz w:val="28"/>
        </w:rPr>
        <w:t xml:space="preserve"> of measure</w:t>
      </w:r>
      <w:r w:rsidRPr="007755B7">
        <w:rPr>
          <w:i/>
          <w:color w:val="000000"/>
          <w:sz w:val="28"/>
        </w:rPr>
        <w:t xml:space="preserve"> to another.  This information and skill is needed to understand MEMS – how they work, how they are made</w:t>
      </w:r>
      <w:r>
        <w:rPr>
          <w:i/>
          <w:color w:val="000000"/>
          <w:sz w:val="28"/>
        </w:rPr>
        <w:t>,</w:t>
      </w:r>
      <w:r w:rsidRPr="007755B7">
        <w:rPr>
          <w:i/>
          <w:color w:val="000000"/>
          <w:sz w:val="28"/>
        </w:rPr>
        <w:t xml:space="preserve"> and how they are designed</w:t>
      </w:r>
      <w:r w:rsidR="00B01432">
        <w:rPr>
          <w:i/>
          <w:color w:val="000000"/>
          <w:sz w:val="28"/>
        </w:rPr>
        <w:t>.</w:t>
      </w:r>
    </w:p>
    <w:p w14:paraId="6ABB554B" w14:textId="77777777" w:rsidR="001F4B8C" w:rsidRPr="00766922" w:rsidRDefault="001F4B8C" w:rsidP="001F4B8C">
      <w:pPr>
        <w:jc w:val="center"/>
        <w:rPr>
          <w:sz w:val="28"/>
        </w:rPr>
      </w:pPr>
    </w:p>
    <w:p w14:paraId="1BE82BC9" w14:textId="6E7F56AC" w:rsidR="001F4B8C" w:rsidRPr="00766922" w:rsidRDefault="001F4B8C" w:rsidP="00B01432">
      <w:pPr>
        <w:jc w:val="center"/>
        <w:rPr>
          <w:sz w:val="28"/>
        </w:rPr>
      </w:pPr>
      <w:r w:rsidRPr="00766922">
        <w:rPr>
          <w:sz w:val="28"/>
        </w:rPr>
        <w:t>Target audiences:</w:t>
      </w:r>
      <w:r>
        <w:rPr>
          <w:sz w:val="28"/>
        </w:rPr>
        <w:t xml:space="preserve"> High School, Community College, </w:t>
      </w:r>
      <w:proofErr w:type="gramStart"/>
      <w:r>
        <w:rPr>
          <w:sz w:val="28"/>
        </w:rPr>
        <w:t>University</w:t>
      </w:r>
      <w:proofErr w:type="gramEnd"/>
    </w:p>
    <w:p w14:paraId="34E490BE" w14:textId="77777777" w:rsidR="001F4B8C" w:rsidRDefault="001F4B8C" w:rsidP="001F4B8C">
      <w:pPr>
        <w:jc w:val="center"/>
        <w:rPr>
          <w:b/>
          <w:sz w:val="32"/>
        </w:rPr>
      </w:pPr>
    </w:p>
    <w:p w14:paraId="3F9190E1" w14:textId="77777777" w:rsidR="001F4B8C" w:rsidRDefault="001F4B8C" w:rsidP="001F4B8C">
      <w:pPr>
        <w:jc w:val="center"/>
      </w:pPr>
      <w:r>
        <w:t>Made possible through grants from the National Science Foundation Department of Undergraduate Education #0830384, 0902411, and 1205138.</w:t>
      </w:r>
    </w:p>
    <w:p w14:paraId="4E6FE8FF" w14:textId="77777777" w:rsidR="001F4B8C" w:rsidRDefault="001F4B8C" w:rsidP="001F4B8C">
      <w:pPr>
        <w:jc w:val="center"/>
      </w:pPr>
    </w:p>
    <w:p w14:paraId="364A4FA3" w14:textId="77777777" w:rsidR="001F4B8C" w:rsidRDefault="001F4B8C" w:rsidP="001F4B8C">
      <w:pPr>
        <w:jc w:val="center"/>
      </w:pPr>
      <w:r>
        <w:t>Any opinions, findings and conclusions or recommendations expressed in this material are those of the authors and creators, and do not necessarily reflect the views of the National Science Foundation.</w:t>
      </w:r>
    </w:p>
    <w:p w14:paraId="5BDDE140" w14:textId="77777777" w:rsidR="001F4B8C" w:rsidRDefault="001F4B8C" w:rsidP="001F4B8C">
      <w:pPr>
        <w:rPr>
          <w:b/>
          <w:sz w:val="32"/>
        </w:rPr>
      </w:pPr>
    </w:p>
    <w:p w14:paraId="6A174790" w14:textId="77777777" w:rsidR="001F4B8C" w:rsidRDefault="001F4B8C" w:rsidP="001F4B8C">
      <w:pPr>
        <w:jc w:val="center"/>
      </w:pPr>
      <w:r>
        <w:t>Southwest Center for Microsystems Education (SCME) NSF ATE Center</w:t>
      </w:r>
    </w:p>
    <w:p w14:paraId="1A214E0F" w14:textId="28845D23" w:rsidR="001F4B8C" w:rsidRDefault="001F4B8C" w:rsidP="001F4B8C">
      <w:pPr>
        <w:jc w:val="center"/>
      </w:pPr>
      <w:r>
        <w:t xml:space="preserve">© </w:t>
      </w:r>
      <w:r w:rsidR="00B01432">
        <w:t>2009</w:t>
      </w:r>
      <w:r>
        <w:t xml:space="preserve"> Regents of the University of New Mexico</w:t>
      </w:r>
    </w:p>
    <w:p w14:paraId="0ABC5AC3" w14:textId="77777777" w:rsidR="001F4B8C" w:rsidRDefault="001F4B8C" w:rsidP="001F4B8C">
      <w:pPr>
        <w:jc w:val="center"/>
      </w:pPr>
    </w:p>
    <w:p w14:paraId="76F29EFD" w14:textId="77777777" w:rsidR="001F4B8C" w:rsidRDefault="001F4B8C" w:rsidP="001F4B8C">
      <w:pPr>
        <w:jc w:val="center"/>
      </w:pPr>
      <w:r>
        <w:t>Content is protected by the CC Attribution Non-Commercial Share Alike license.</w:t>
      </w:r>
    </w:p>
    <w:p w14:paraId="54CA39EF" w14:textId="77777777" w:rsidR="001F4B8C" w:rsidRDefault="001F4B8C" w:rsidP="001F4B8C">
      <w:pPr>
        <w:jc w:val="center"/>
      </w:pPr>
    </w:p>
    <w:p w14:paraId="1B0E4CE1" w14:textId="079C4726" w:rsidR="001F4B8C" w:rsidRPr="00B01432" w:rsidRDefault="001F4B8C" w:rsidP="00B01432">
      <w:pPr>
        <w:jc w:val="center"/>
        <w:rPr>
          <w:rFonts w:ascii="Calibri" w:hAnsi="Calibri"/>
          <w:color w:val="0000FF"/>
          <w:u w:val="single"/>
        </w:rPr>
      </w:pPr>
      <w:r>
        <w:t xml:space="preserve">Website:  </w:t>
      </w:r>
      <w:hyperlink r:id="rId8" w:history="1">
        <w:r>
          <w:rPr>
            <w:rStyle w:val="Hyperlink"/>
            <w:rFonts w:ascii="Calibri" w:hAnsi="Calibri"/>
          </w:rPr>
          <w:t>www.scme-nm.org</w:t>
        </w:r>
      </w:hyperlink>
    </w:p>
    <w:p w14:paraId="0EA82231" w14:textId="77777777" w:rsidR="0048434C" w:rsidRDefault="004E56CF" w:rsidP="00D8382D">
      <w:pPr>
        <w:pStyle w:val="Heading1"/>
        <w:rPr>
          <w:rFonts w:ascii="Times New Roman" w:hAnsi="Times New Roman" w:cs="Times New Roman"/>
        </w:rPr>
      </w:pPr>
      <w:r>
        <w:rPr>
          <w:rFonts w:ascii="Times New Roman" w:hAnsi="Times New Roman" w:cs="Times New Roman"/>
        </w:rPr>
        <w:br w:type="page"/>
      </w:r>
      <w:r w:rsidR="00994CF3">
        <w:rPr>
          <w:rFonts w:ascii="Times New Roman" w:hAnsi="Times New Roman" w:cs="Times New Roman"/>
        </w:rPr>
        <w:lastRenderedPageBreak/>
        <w:t xml:space="preserve">Learning Module </w:t>
      </w:r>
      <w:r w:rsidR="0008239A" w:rsidRPr="004B4CE7">
        <w:rPr>
          <w:rFonts w:ascii="Times New Roman" w:hAnsi="Times New Roman" w:cs="Times New Roman"/>
        </w:rPr>
        <w:t xml:space="preserve">Map for </w:t>
      </w:r>
    </w:p>
    <w:p w14:paraId="63346C18" w14:textId="77777777" w:rsidR="00D8382D" w:rsidRPr="004B4CE7" w:rsidRDefault="0048434C" w:rsidP="00D8382D">
      <w:pPr>
        <w:pStyle w:val="Heading1"/>
        <w:rPr>
          <w:rFonts w:ascii="Times New Roman" w:hAnsi="Times New Roman" w:cs="Times New Roman"/>
        </w:rPr>
      </w:pPr>
      <w:r>
        <w:rPr>
          <w:rFonts w:ascii="Times New Roman" w:hAnsi="Times New Roman" w:cs="Times New Roman"/>
        </w:rPr>
        <w:t>Units of Weights and Measures</w:t>
      </w:r>
    </w:p>
    <w:p w14:paraId="6D23BAB2" w14:textId="77777777" w:rsidR="00D8382D" w:rsidRPr="004B4CE7" w:rsidRDefault="00D8382D" w:rsidP="00D8382D"/>
    <w:p w14:paraId="4E139426" w14:textId="602742E7" w:rsidR="00B01432" w:rsidRDefault="00B01432" w:rsidP="00B01432">
      <w:pPr>
        <w:keepNext/>
        <w:keepLines/>
        <w:rPr>
          <w:i/>
          <w:color w:val="000000"/>
        </w:rPr>
      </w:pPr>
      <w:r w:rsidRPr="00B01432">
        <w:rPr>
          <w:i/>
          <w:color w:val="000000"/>
        </w:rPr>
        <w:t>This learning module provides information on the evolution of the current systems of weights and measures, and an overview of the International Standards of Units and metric system.  Activities provide the opportunity to learn and practice converting from one unit of measure to another.  This information and skill is needed to understand MEMS – how they work, how they are made, and how they are designed</w:t>
      </w:r>
      <w:r>
        <w:rPr>
          <w:i/>
          <w:color w:val="000000"/>
        </w:rPr>
        <w:t>.</w:t>
      </w:r>
    </w:p>
    <w:p w14:paraId="5D3E9499" w14:textId="77777777" w:rsidR="00B01432" w:rsidRPr="00B01432" w:rsidRDefault="00B01432" w:rsidP="00B01432">
      <w:pPr>
        <w:keepNext/>
        <w:keepLines/>
        <w:rPr>
          <w:i/>
          <w:color w:val="000000"/>
        </w:rPr>
      </w:pPr>
    </w:p>
    <w:p w14:paraId="2EF83071" w14:textId="2151451A" w:rsidR="00994CF3" w:rsidRDefault="00D71D7C" w:rsidP="00D8382D">
      <w:pPr>
        <w:spacing w:line="360" w:lineRule="auto"/>
      </w:pPr>
      <w:r>
        <w:t>This learning module consists of the following units:</w:t>
      </w:r>
    </w:p>
    <w:p w14:paraId="02671D3F" w14:textId="77777777" w:rsidR="000D7C1C" w:rsidRDefault="000D7C1C" w:rsidP="001D2540">
      <w:pPr>
        <w:numPr>
          <w:ilvl w:val="0"/>
          <w:numId w:val="8"/>
        </w:numPr>
      </w:pPr>
      <w:r>
        <w:t>Knowledge Probe (KP or Pre-Quiz)</w:t>
      </w:r>
    </w:p>
    <w:p w14:paraId="48D9A439" w14:textId="77777777" w:rsidR="002F2305" w:rsidRDefault="002F2305" w:rsidP="001D2540">
      <w:pPr>
        <w:numPr>
          <w:ilvl w:val="0"/>
          <w:numId w:val="8"/>
        </w:numPr>
      </w:pPr>
      <w:r>
        <w:t>Primary Knowledge (PK)</w:t>
      </w:r>
      <w:r w:rsidR="000D7C1C">
        <w:t xml:space="preserve"> reading material</w:t>
      </w:r>
    </w:p>
    <w:p w14:paraId="607DEA3C" w14:textId="77777777" w:rsidR="002F2305" w:rsidRDefault="0048434C" w:rsidP="001D2540">
      <w:pPr>
        <w:numPr>
          <w:ilvl w:val="0"/>
          <w:numId w:val="8"/>
        </w:numPr>
      </w:pPr>
      <w:r>
        <w:t xml:space="preserve">Research </w:t>
      </w:r>
      <w:r w:rsidR="002F2305">
        <w:t>Activity</w:t>
      </w:r>
    </w:p>
    <w:p w14:paraId="598FF43C" w14:textId="77777777" w:rsidR="002F2305" w:rsidRDefault="0048434C" w:rsidP="001D2540">
      <w:pPr>
        <w:numPr>
          <w:ilvl w:val="0"/>
          <w:numId w:val="8"/>
        </w:numPr>
      </w:pPr>
      <w:r>
        <w:t xml:space="preserve">Conversion </w:t>
      </w:r>
      <w:r w:rsidR="002F2305">
        <w:t>Activity</w:t>
      </w:r>
    </w:p>
    <w:p w14:paraId="029985FB" w14:textId="77777777" w:rsidR="002F2305" w:rsidRDefault="00173F72" w:rsidP="001D2540">
      <w:pPr>
        <w:numPr>
          <w:ilvl w:val="0"/>
          <w:numId w:val="8"/>
        </w:numPr>
      </w:pPr>
      <w:r>
        <w:t xml:space="preserve">Assessment </w:t>
      </w:r>
    </w:p>
    <w:p w14:paraId="56B59C0A" w14:textId="77777777" w:rsidR="00D8382D" w:rsidRDefault="00D8382D" w:rsidP="00D8382D"/>
    <w:p w14:paraId="10300BC5" w14:textId="77777777" w:rsidR="003F6700" w:rsidRDefault="003F6700" w:rsidP="00D8382D">
      <w:r w:rsidRPr="004E56CF">
        <w:rPr>
          <w:b/>
        </w:rPr>
        <w:t>Following is a suggested map on the implementation of this learning module</w:t>
      </w:r>
      <w:r>
        <w:t>.</w:t>
      </w:r>
    </w:p>
    <w:p w14:paraId="1E4050C5" w14:textId="77777777" w:rsidR="003F6700" w:rsidRPr="004B4CE7" w:rsidRDefault="003F6700" w:rsidP="00D8382D"/>
    <w:tbl>
      <w:tblPr>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995"/>
        <w:gridCol w:w="3420"/>
        <w:gridCol w:w="3240"/>
      </w:tblGrid>
      <w:tr w:rsidR="00D8382D" w:rsidRPr="004B4CE7" w14:paraId="43841C72" w14:textId="77777777" w:rsidTr="005D033C">
        <w:tc>
          <w:tcPr>
            <w:tcW w:w="2995" w:type="dxa"/>
          </w:tcPr>
          <w:p w14:paraId="246764FE" w14:textId="77777777" w:rsidR="00D8382D" w:rsidRPr="004B4CE7" w:rsidRDefault="00D8382D" w:rsidP="00143292">
            <w:pPr>
              <w:jc w:val="center"/>
              <w:rPr>
                <w:b/>
                <w:bCs/>
              </w:rPr>
            </w:pPr>
            <w:r w:rsidRPr="004B4CE7">
              <w:rPr>
                <w:b/>
                <w:bCs/>
              </w:rPr>
              <w:t>IMPORTANT STEPS</w:t>
            </w:r>
          </w:p>
        </w:tc>
        <w:tc>
          <w:tcPr>
            <w:tcW w:w="3420" w:type="dxa"/>
          </w:tcPr>
          <w:p w14:paraId="2D9A2C6E" w14:textId="77777777" w:rsidR="00D8382D" w:rsidRPr="004B4CE7" w:rsidRDefault="00D8382D" w:rsidP="00143292">
            <w:pPr>
              <w:jc w:val="center"/>
              <w:rPr>
                <w:b/>
                <w:bCs/>
              </w:rPr>
            </w:pPr>
            <w:r w:rsidRPr="004B4CE7">
              <w:rPr>
                <w:b/>
                <w:bCs/>
              </w:rPr>
              <w:t>KEY POINTS</w:t>
            </w:r>
          </w:p>
        </w:tc>
        <w:tc>
          <w:tcPr>
            <w:tcW w:w="3240" w:type="dxa"/>
          </w:tcPr>
          <w:p w14:paraId="0EA74EBB" w14:textId="77777777" w:rsidR="00D8382D" w:rsidRPr="004B4CE7" w:rsidRDefault="00D8382D" w:rsidP="00143292">
            <w:pPr>
              <w:jc w:val="center"/>
              <w:rPr>
                <w:b/>
                <w:bCs/>
              </w:rPr>
            </w:pPr>
            <w:r w:rsidRPr="004B4CE7">
              <w:rPr>
                <w:b/>
                <w:bCs/>
              </w:rPr>
              <w:t>REASONS</w:t>
            </w:r>
          </w:p>
        </w:tc>
      </w:tr>
      <w:tr w:rsidR="000D7C1C" w:rsidRPr="004B4CE7" w14:paraId="65E5745F" w14:textId="77777777" w:rsidTr="005D033C">
        <w:trPr>
          <w:cantSplit/>
          <w:trHeight w:val="2303"/>
        </w:trPr>
        <w:tc>
          <w:tcPr>
            <w:tcW w:w="2995" w:type="dxa"/>
            <w:vAlign w:val="center"/>
          </w:tcPr>
          <w:p w14:paraId="3E442A50" w14:textId="77777777" w:rsidR="000D7C1C" w:rsidRDefault="000D7C1C" w:rsidP="003F6700">
            <w:pPr>
              <w:pStyle w:val="Header"/>
            </w:pPr>
            <w:r>
              <w:rPr>
                <w:u w:val="single"/>
              </w:rPr>
              <w:t>Knowledge Probe</w:t>
            </w:r>
            <w:r w:rsidR="00B64366">
              <w:rPr>
                <w:u w:val="single"/>
              </w:rPr>
              <w:t xml:space="preserve"> (KP)</w:t>
            </w:r>
          </w:p>
          <w:p w14:paraId="5818244A" w14:textId="77777777" w:rsidR="000D7C1C" w:rsidRPr="000D7C1C" w:rsidRDefault="000D7C1C" w:rsidP="003F6700">
            <w:pPr>
              <w:pStyle w:val="Header"/>
            </w:pPr>
            <w:r>
              <w:t>Have the participants complete the knowledge probe in the front of their learning modules</w:t>
            </w:r>
          </w:p>
        </w:tc>
        <w:tc>
          <w:tcPr>
            <w:tcW w:w="3420" w:type="dxa"/>
            <w:vAlign w:val="center"/>
          </w:tcPr>
          <w:p w14:paraId="313513EF" w14:textId="77777777" w:rsidR="000D7C1C" w:rsidRDefault="000D7C1C" w:rsidP="000D7C1C">
            <w:pPr>
              <w:pStyle w:val="BulletList"/>
              <w:numPr>
                <w:ilvl w:val="0"/>
                <w:numId w:val="0"/>
              </w:numPr>
              <w:ind w:right="450"/>
            </w:pPr>
            <w:r>
              <w:t>Tests for the participants’ current knowledge of weights &amp; measures, history, the metric system, and ability to convert from one unit to another.</w:t>
            </w:r>
          </w:p>
        </w:tc>
        <w:tc>
          <w:tcPr>
            <w:tcW w:w="3240" w:type="dxa"/>
            <w:vAlign w:val="center"/>
          </w:tcPr>
          <w:p w14:paraId="5C4A84A0" w14:textId="77777777" w:rsidR="000D7C1C" w:rsidRDefault="000D7C1C" w:rsidP="0048434C">
            <w:pPr>
              <w:pStyle w:val="BulletList"/>
              <w:numPr>
                <w:ilvl w:val="0"/>
                <w:numId w:val="0"/>
              </w:numPr>
              <w:ind w:right="450"/>
            </w:pPr>
            <w:r>
              <w:t xml:space="preserve">By having the participants complete this KP prior to starting the learning module, you can compare these results with those of the final assessment to identify any learning that </w:t>
            </w:r>
            <w:r w:rsidR="00B64366">
              <w:t xml:space="preserve">took </w:t>
            </w:r>
            <w:r>
              <w:t>place as a result of this learning module.</w:t>
            </w:r>
          </w:p>
          <w:p w14:paraId="31CECEEF" w14:textId="77777777" w:rsidR="000D7C1C" w:rsidRPr="000D7C1C" w:rsidRDefault="000D7C1C" w:rsidP="000D7C1C"/>
        </w:tc>
      </w:tr>
      <w:tr w:rsidR="00D8382D" w:rsidRPr="004B4CE7" w14:paraId="016D6A0B" w14:textId="77777777" w:rsidTr="005D033C">
        <w:trPr>
          <w:cantSplit/>
          <w:trHeight w:val="2303"/>
        </w:trPr>
        <w:tc>
          <w:tcPr>
            <w:tcW w:w="2995" w:type="dxa"/>
            <w:vAlign w:val="center"/>
          </w:tcPr>
          <w:p w14:paraId="2EAE60A4" w14:textId="77777777" w:rsidR="002F2305" w:rsidRPr="002F2305" w:rsidRDefault="002F2305" w:rsidP="003F6700">
            <w:pPr>
              <w:pStyle w:val="Header"/>
            </w:pPr>
            <w:r>
              <w:rPr>
                <w:u w:val="single"/>
              </w:rPr>
              <w:t>Unit Presentation</w:t>
            </w:r>
            <w:r w:rsidR="00D95B57">
              <w:rPr>
                <w:u w:val="single"/>
              </w:rPr>
              <w:t>:</w:t>
            </w:r>
          </w:p>
          <w:p w14:paraId="72BE3E47" w14:textId="77777777" w:rsidR="00D8382D" w:rsidRPr="004B4CE7" w:rsidRDefault="007A3184" w:rsidP="0048434C">
            <w:pPr>
              <w:pStyle w:val="Header"/>
            </w:pPr>
            <w:r>
              <w:t xml:space="preserve">Present the </w:t>
            </w:r>
            <w:r w:rsidR="0048434C">
              <w:rPr>
                <w:u w:val="single"/>
              </w:rPr>
              <w:t>Units of Weights and Measures PK</w:t>
            </w:r>
          </w:p>
        </w:tc>
        <w:tc>
          <w:tcPr>
            <w:tcW w:w="3420" w:type="dxa"/>
            <w:vAlign w:val="center"/>
          </w:tcPr>
          <w:p w14:paraId="07682DAC" w14:textId="77777777" w:rsidR="003F6700" w:rsidRDefault="003F6700" w:rsidP="000A691F">
            <w:pPr>
              <w:pStyle w:val="BulletList"/>
              <w:numPr>
                <w:ilvl w:val="0"/>
                <w:numId w:val="0"/>
              </w:numPr>
              <w:ind w:right="450"/>
            </w:pPr>
            <w:r>
              <w:t xml:space="preserve">Participants should read the PK.  </w:t>
            </w:r>
          </w:p>
          <w:p w14:paraId="42ACC6F9" w14:textId="77777777" w:rsidR="007A3184" w:rsidRPr="007A3184" w:rsidRDefault="007A3184" w:rsidP="007A3184"/>
          <w:p w14:paraId="795A0DBA" w14:textId="77777777" w:rsidR="00D8382D" w:rsidRPr="004B4CE7" w:rsidRDefault="003F6700" w:rsidP="007A3184">
            <w:pPr>
              <w:pStyle w:val="BulletList"/>
              <w:numPr>
                <w:ilvl w:val="0"/>
                <w:numId w:val="0"/>
              </w:numPr>
              <w:ind w:right="450"/>
            </w:pPr>
            <w:r>
              <w:t>A PowerPoint presentation can be downloaded from scme-nm.org</w:t>
            </w:r>
            <w:r w:rsidR="002654DD">
              <w:t xml:space="preserve"> and presented to all participants</w:t>
            </w:r>
            <w:r w:rsidR="00F00AB7">
              <w:t>.</w:t>
            </w:r>
          </w:p>
        </w:tc>
        <w:tc>
          <w:tcPr>
            <w:tcW w:w="3240" w:type="dxa"/>
            <w:vAlign w:val="center"/>
          </w:tcPr>
          <w:p w14:paraId="0ECD9F85" w14:textId="77777777" w:rsidR="00D8382D" w:rsidRPr="004B4CE7" w:rsidRDefault="008067B1" w:rsidP="0048434C">
            <w:pPr>
              <w:pStyle w:val="BulletList"/>
              <w:numPr>
                <w:ilvl w:val="0"/>
                <w:numId w:val="0"/>
              </w:numPr>
              <w:ind w:right="450"/>
            </w:pPr>
            <w:r>
              <w:t xml:space="preserve">An introduction into </w:t>
            </w:r>
            <w:r w:rsidR="0048434C">
              <w:t>the history and evolution of weights and measures as well as the metric system, will enhance the learning in the activities related to this learning module.</w:t>
            </w:r>
          </w:p>
        </w:tc>
      </w:tr>
      <w:tr w:rsidR="006714D8" w:rsidRPr="004B4CE7" w14:paraId="41656CA7" w14:textId="77777777" w:rsidTr="005D033C">
        <w:trPr>
          <w:cantSplit/>
          <w:trHeight w:val="800"/>
        </w:trPr>
        <w:tc>
          <w:tcPr>
            <w:tcW w:w="2995" w:type="dxa"/>
            <w:vAlign w:val="center"/>
          </w:tcPr>
          <w:p w14:paraId="5D89C85D" w14:textId="77777777" w:rsidR="006714D8" w:rsidRDefault="006714D8" w:rsidP="000A691F">
            <w:pPr>
              <w:pStyle w:val="Header"/>
              <w:rPr>
                <w:u w:val="single"/>
              </w:rPr>
            </w:pPr>
          </w:p>
          <w:p w14:paraId="09D8839D" w14:textId="77777777" w:rsidR="006714D8" w:rsidRPr="002F2305" w:rsidRDefault="006714D8" w:rsidP="000A691F">
            <w:pPr>
              <w:pStyle w:val="Header"/>
              <w:rPr>
                <w:u w:val="single"/>
              </w:rPr>
            </w:pPr>
            <w:r>
              <w:rPr>
                <w:u w:val="single"/>
              </w:rPr>
              <w:t>Activity 1:</w:t>
            </w:r>
          </w:p>
          <w:p w14:paraId="523DC539" w14:textId="77777777" w:rsidR="006714D8" w:rsidRDefault="0048434C" w:rsidP="000A691F">
            <w:pPr>
              <w:pStyle w:val="Header"/>
            </w:pPr>
            <w:r>
              <w:t>Assign the “Units of Weights and Measures Research Activity.”</w:t>
            </w:r>
          </w:p>
          <w:p w14:paraId="26C3F579" w14:textId="77777777" w:rsidR="006714D8" w:rsidRPr="004B4CE7" w:rsidRDefault="006714D8" w:rsidP="000A691F">
            <w:pPr>
              <w:pStyle w:val="Header"/>
            </w:pPr>
          </w:p>
        </w:tc>
        <w:tc>
          <w:tcPr>
            <w:tcW w:w="3420" w:type="dxa"/>
            <w:vAlign w:val="center"/>
          </w:tcPr>
          <w:p w14:paraId="46ACEDA9" w14:textId="77777777" w:rsidR="006714D8" w:rsidRPr="007A3184" w:rsidDel="007C60BC" w:rsidRDefault="0048434C" w:rsidP="001C7CC7">
            <w:pPr>
              <w:pStyle w:val="Header"/>
            </w:pPr>
            <w:r>
              <w:t xml:space="preserve">This activity should be completed by small teams (2 to 3 participants).  </w:t>
            </w:r>
          </w:p>
        </w:tc>
        <w:tc>
          <w:tcPr>
            <w:tcW w:w="3240" w:type="dxa"/>
            <w:vAlign w:val="center"/>
          </w:tcPr>
          <w:p w14:paraId="732649E7" w14:textId="77777777" w:rsidR="006714D8" w:rsidRDefault="0048434C" w:rsidP="001872F7">
            <w:pPr>
              <w:pStyle w:val="Header"/>
            </w:pPr>
            <w:r>
              <w:t>Working in teams will increase discussion on the topics research</w:t>
            </w:r>
            <w:r w:rsidR="001C7CC7">
              <w:t>ed</w:t>
            </w:r>
            <w:r>
              <w:t xml:space="preserve"> and lead to improved learning</w:t>
            </w:r>
            <w:r w:rsidR="000D7C1C">
              <w:t>.</w:t>
            </w:r>
          </w:p>
          <w:p w14:paraId="1EEE1722" w14:textId="77777777" w:rsidR="0008301C" w:rsidRDefault="0008301C" w:rsidP="001872F7">
            <w:pPr>
              <w:pStyle w:val="Header"/>
            </w:pPr>
          </w:p>
          <w:p w14:paraId="2EFA42B4" w14:textId="77777777" w:rsidR="000D7C1C" w:rsidRDefault="000D7C1C" w:rsidP="001872F7">
            <w:pPr>
              <w:pStyle w:val="Header"/>
            </w:pPr>
            <w:r>
              <w:t>Working in teams and team communication is an employment requirement of most manufacturing industries.</w:t>
            </w:r>
          </w:p>
          <w:p w14:paraId="51DDB494" w14:textId="77777777" w:rsidR="000D7C1C" w:rsidRPr="004B4CE7" w:rsidRDefault="000D7C1C" w:rsidP="001872F7">
            <w:pPr>
              <w:pStyle w:val="Header"/>
            </w:pPr>
          </w:p>
        </w:tc>
      </w:tr>
      <w:tr w:rsidR="0026048B" w:rsidRPr="004B4CE7" w14:paraId="20240C91" w14:textId="77777777" w:rsidTr="005D033C">
        <w:trPr>
          <w:cantSplit/>
          <w:trHeight w:val="1152"/>
        </w:trPr>
        <w:tc>
          <w:tcPr>
            <w:tcW w:w="2995" w:type="dxa"/>
            <w:vAlign w:val="center"/>
          </w:tcPr>
          <w:p w14:paraId="6B06292B" w14:textId="77777777" w:rsidR="0026048B" w:rsidRDefault="0026048B" w:rsidP="00760733">
            <w:pPr>
              <w:pStyle w:val="Header"/>
            </w:pPr>
            <w:r>
              <w:rPr>
                <w:u w:val="single"/>
              </w:rPr>
              <w:t>Activity 2</w:t>
            </w:r>
            <w:r w:rsidR="00BF487C">
              <w:rPr>
                <w:u w:val="single"/>
              </w:rPr>
              <w:t>:</w:t>
            </w:r>
          </w:p>
          <w:p w14:paraId="6666430A" w14:textId="77777777" w:rsidR="0026048B" w:rsidRPr="0026048B" w:rsidRDefault="0048434C" w:rsidP="000A01B1">
            <w:pPr>
              <w:pStyle w:val="Header"/>
            </w:pPr>
            <w:r>
              <w:t xml:space="preserve">Assign the “Units of Weights and Measures Conversion Activity”.  </w:t>
            </w:r>
          </w:p>
        </w:tc>
        <w:tc>
          <w:tcPr>
            <w:tcW w:w="3420" w:type="dxa"/>
            <w:vAlign w:val="center"/>
          </w:tcPr>
          <w:p w14:paraId="7C26D08A" w14:textId="77777777" w:rsidR="0026048B" w:rsidRDefault="0008301C" w:rsidP="001D2540">
            <w:pPr>
              <w:pStyle w:val="Header"/>
            </w:pPr>
            <w:r>
              <w:t>Have the</w:t>
            </w:r>
            <w:r w:rsidR="000D7C1C">
              <w:t xml:space="preserve"> participants complete this assignment for homework, then work with other participants to verify and discuss results.</w:t>
            </w:r>
          </w:p>
        </w:tc>
        <w:tc>
          <w:tcPr>
            <w:tcW w:w="3240" w:type="dxa"/>
            <w:vAlign w:val="center"/>
          </w:tcPr>
          <w:p w14:paraId="781B2C46" w14:textId="77777777" w:rsidR="0026048B" w:rsidRDefault="0048434C" w:rsidP="001D2540">
            <w:pPr>
              <w:pStyle w:val="Header"/>
            </w:pPr>
            <w:r>
              <w:t>This activity improves the participants</w:t>
            </w:r>
            <w:r w:rsidR="001C7CC7">
              <w:t>’</w:t>
            </w:r>
            <w:r>
              <w:t xml:space="preserve"> ability to convert units of weights and measures within one system and between two systems of measurements (i.e., English to metric and metric to English)</w:t>
            </w:r>
          </w:p>
          <w:p w14:paraId="457E7A3B" w14:textId="77777777" w:rsidR="00584D29" w:rsidRDefault="00584D29" w:rsidP="001D2540">
            <w:pPr>
              <w:pStyle w:val="Header"/>
            </w:pPr>
          </w:p>
        </w:tc>
      </w:tr>
      <w:tr w:rsidR="006537B7" w:rsidRPr="004B4CE7" w14:paraId="4E7ECE9D" w14:textId="77777777" w:rsidTr="005D033C">
        <w:trPr>
          <w:cantSplit/>
          <w:trHeight w:val="1152"/>
        </w:trPr>
        <w:tc>
          <w:tcPr>
            <w:tcW w:w="2995" w:type="dxa"/>
            <w:vAlign w:val="center"/>
          </w:tcPr>
          <w:p w14:paraId="2202D611" w14:textId="77777777" w:rsidR="006537B7" w:rsidRDefault="00002089" w:rsidP="00760733">
            <w:pPr>
              <w:pStyle w:val="Header"/>
            </w:pPr>
            <w:r>
              <w:rPr>
                <w:u w:val="single"/>
              </w:rPr>
              <w:t>Assessment</w:t>
            </w:r>
            <w:r w:rsidR="00BF487C">
              <w:rPr>
                <w:u w:val="single"/>
              </w:rPr>
              <w:t>:</w:t>
            </w:r>
          </w:p>
          <w:p w14:paraId="61DB1746" w14:textId="77777777" w:rsidR="00002089" w:rsidRPr="00002089" w:rsidRDefault="00002089" w:rsidP="001C7CC7">
            <w:pPr>
              <w:pStyle w:val="Header"/>
            </w:pPr>
            <w:r>
              <w:t>Complete the</w:t>
            </w:r>
            <w:r w:rsidR="001C7CC7">
              <w:t xml:space="preserve"> Assessment</w:t>
            </w:r>
            <w:r>
              <w:t>.</w:t>
            </w:r>
          </w:p>
        </w:tc>
        <w:tc>
          <w:tcPr>
            <w:tcW w:w="3420" w:type="dxa"/>
            <w:vAlign w:val="center"/>
          </w:tcPr>
          <w:p w14:paraId="2D18D51D" w14:textId="77777777" w:rsidR="006714D8" w:rsidRPr="004B4CE7" w:rsidRDefault="006714D8" w:rsidP="00002089">
            <w:pPr>
              <w:pStyle w:val="Header"/>
            </w:pPr>
          </w:p>
        </w:tc>
        <w:tc>
          <w:tcPr>
            <w:tcW w:w="3240" w:type="dxa"/>
            <w:vAlign w:val="center"/>
          </w:tcPr>
          <w:p w14:paraId="2CB4769A" w14:textId="77777777" w:rsidR="006537B7" w:rsidRDefault="001D2540" w:rsidP="0048434C">
            <w:pPr>
              <w:pStyle w:val="Header"/>
            </w:pPr>
            <w:r>
              <w:t xml:space="preserve">Participants are evaluated on what they </w:t>
            </w:r>
            <w:r w:rsidR="005D033C">
              <w:t xml:space="preserve">have learned about </w:t>
            </w:r>
            <w:r w:rsidR="0048434C">
              <w:t>the history and evoluti</w:t>
            </w:r>
            <w:r w:rsidR="001C7CC7">
              <w:t>on of weights and measures, and their</w:t>
            </w:r>
            <w:r w:rsidR="0048434C">
              <w:t xml:space="preserve"> ability to convert between various units of measure.</w:t>
            </w:r>
            <w:r>
              <w:t xml:space="preserve">  </w:t>
            </w:r>
          </w:p>
          <w:p w14:paraId="2236CD36" w14:textId="77777777" w:rsidR="000D7C1C" w:rsidRDefault="000D7C1C" w:rsidP="0048434C">
            <w:pPr>
              <w:pStyle w:val="Header"/>
            </w:pPr>
          </w:p>
          <w:p w14:paraId="2B6B4D3C" w14:textId="77777777" w:rsidR="000D7C1C" w:rsidRPr="004B4CE7" w:rsidRDefault="000D7C1C" w:rsidP="0048434C">
            <w:pPr>
              <w:pStyle w:val="Header"/>
            </w:pPr>
            <w:r>
              <w:t>Compare these results with those of the KP to determine what learning has taken place as a result of this learning module.</w:t>
            </w:r>
          </w:p>
        </w:tc>
      </w:tr>
    </w:tbl>
    <w:p w14:paraId="71C93260" w14:textId="77777777" w:rsidR="00522899" w:rsidRDefault="00522899" w:rsidP="001D2540"/>
    <w:p w14:paraId="4E9E88CE" w14:textId="77777777" w:rsidR="002654DD" w:rsidRPr="004B4CE7" w:rsidRDefault="002654DD" w:rsidP="002654DD">
      <w:pPr>
        <w:rPr>
          <w:i/>
          <w:sz w:val="20"/>
        </w:rPr>
      </w:pPr>
      <w:r w:rsidRPr="004B4CE7">
        <w:rPr>
          <w:i/>
          <w:sz w:val="20"/>
        </w:rPr>
        <w:t xml:space="preserve">Adapted from </w:t>
      </w:r>
      <w:proofErr w:type="spellStart"/>
      <w:r w:rsidRPr="004B4CE7">
        <w:rPr>
          <w:i/>
          <w:sz w:val="20"/>
        </w:rPr>
        <w:t>Graupp</w:t>
      </w:r>
      <w:proofErr w:type="spellEnd"/>
      <w:r w:rsidRPr="004B4CE7">
        <w:rPr>
          <w:i/>
          <w:sz w:val="20"/>
        </w:rPr>
        <w:t xml:space="preserve">, P. &amp; </w:t>
      </w:r>
      <w:proofErr w:type="spellStart"/>
      <w:r w:rsidRPr="004B4CE7">
        <w:rPr>
          <w:i/>
          <w:sz w:val="20"/>
        </w:rPr>
        <w:t>Wrona</w:t>
      </w:r>
      <w:proofErr w:type="spellEnd"/>
      <w:r w:rsidRPr="004B4CE7">
        <w:rPr>
          <w:i/>
          <w:sz w:val="20"/>
        </w:rPr>
        <w:t xml:space="preserve">, </w:t>
      </w:r>
      <w:proofErr w:type="gramStart"/>
      <w:r w:rsidRPr="004B4CE7">
        <w:rPr>
          <w:i/>
          <w:sz w:val="20"/>
        </w:rPr>
        <w:t>R.</w:t>
      </w:r>
      <w:proofErr w:type="gramEnd"/>
      <w:r w:rsidRPr="004B4CE7">
        <w:rPr>
          <w:i/>
          <w:sz w:val="20"/>
        </w:rPr>
        <w:t xml:space="preserve"> (2006) The TWI Workbook: Essential Skills for Supervisors.  New York, NY. Productivity Press.</w:t>
      </w:r>
    </w:p>
    <w:p w14:paraId="32F33176" w14:textId="77777777" w:rsidR="002654DD" w:rsidRDefault="002654DD" w:rsidP="001D2540"/>
    <w:p w14:paraId="36BD418D" w14:textId="77777777" w:rsidR="001F4B8C" w:rsidRDefault="001F4B8C" w:rsidP="001D2540"/>
    <w:p w14:paraId="228B326E" w14:textId="77777777" w:rsidR="00D71D7C" w:rsidRDefault="00D71D7C" w:rsidP="001D2540"/>
    <w:p w14:paraId="511A6DD1" w14:textId="77777777" w:rsidR="00D71D7C" w:rsidRDefault="00D71D7C" w:rsidP="001D2540"/>
    <w:p w14:paraId="7DF3CC2E" w14:textId="77777777" w:rsidR="00D71D7C" w:rsidRDefault="00D71D7C" w:rsidP="001D2540"/>
    <w:p w14:paraId="0CECF813" w14:textId="77777777" w:rsidR="00D71D7C" w:rsidRDefault="00D71D7C" w:rsidP="001D2540"/>
    <w:p w14:paraId="79F5B203" w14:textId="77777777" w:rsidR="00D71D7C" w:rsidRDefault="00D71D7C" w:rsidP="001D2540"/>
    <w:p w14:paraId="61BB175F" w14:textId="77777777" w:rsidR="00D71D7C" w:rsidRDefault="00D71D7C" w:rsidP="001D2540">
      <w:bookmarkStart w:id="0" w:name="_GoBack"/>
      <w:bookmarkEnd w:id="0"/>
    </w:p>
    <w:p w14:paraId="15889538" w14:textId="77777777" w:rsidR="001F4B8C" w:rsidRDefault="001F4B8C" w:rsidP="001D2540"/>
    <w:p w14:paraId="33D13466" w14:textId="77777777" w:rsidR="001F4B8C" w:rsidRPr="004B4CE7" w:rsidRDefault="001F4B8C" w:rsidP="001D2540">
      <w:r w:rsidRPr="00634F96">
        <w:rPr>
          <w:i/>
        </w:rPr>
        <w:t>Support for this work was provided by the National Science Foundation's Advanced Technological Education (ATE) Program through Grants.  For more learning modules related to microtechnology, visit the SCME website (</w:t>
      </w:r>
      <w:hyperlink r:id="rId9" w:history="1">
        <w:r w:rsidRPr="00634F96">
          <w:rPr>
            <w:rStyle w:val="Hyperlink"/>
            <w:i/>
          </w:rPr>
          <w:t>http://scme-nm.org</w:t>
        </w:r>
      </w:hyperlink>
      <w:r w:rsidRPr="00634F96">
        <w:rPr>
          <w:i/>
        </w:rPr>
        <w:t>).</w:t>
      </w:r>
    </w:p>
    <w:sectPr w:rsidR="001F4B8C" w:rsidRPr="004B4CE7" w:rsidSect="00B01432">
      <w:footerReference w:type="default" r:id="rId10"/>
      <w:pgSz w:w="12240" w:h="15840"/>
      <w:pgMar w:top="1350" w:right="1800" w:bottom="144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7F2FB9" w14:textId="77777777" w:rsidR="00B01432" w:rsidRDefault="00B01432" w:rsidP="00BA6341">
      <w:r>
        <w:separator/>
      </w:r>
    </w:p>
  </w:endnote>
  <w:endnote w:type="continuationSeparator" w:id="0">
    <w:p w14:paraId="764778E8" w14:textId="77777777" w:rsidR="00B01432" w:rsidRDefault="00B01432" w:rsidP="00BA6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Narrow">
    <w:panose1 w:val="020B0506020202030204"/>
    <w:charset w:val="00"/>
    <w:family w:val="auto"/>
    <w:pitch w:val="variable"/>
    <w:sig w:usb0="00000287" w:usb1="00000800" w:usb2="00000000" w:usb3="00000000" w:csb0="0000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0B23A0" w14:textId="77777777" w:rsidR="00B01432" w:rsidRPr="004B6382" w:rsidRDefault="00B01432" w:rsidP="00BA6341">
    <w:pPr>
      <w:pStyle w:val="Footer"/>
      <w:tabs>
        <w:tab w:val="center" w:pos="5310"/>
        <w:tab w:val="right" w:pos="10800"/>
      </w:tabs>
      <w:jc w:val="both"/>
      <w:rPr>
        <w:i/>
        <w:sz w:val="22"/>
      </w:rPr>
    </w:pPr>
    <w:r>
      <w:rPr>
        <w:i/>
        <w:sz w:val="22"/>
      </w:rPr>
      <w:t>Southwest Center for Microsystems Education (</w:t>
    </w:r>
    <w:r w:rsidRPr="004B6382">
      <w:rPr>
        <w:i/>
        <w:sz w:val="22"/>
      </w:rPr>
      <w:t>SCME</w:t>
    </w:r>
    <w:r>
      <w:rPr>
        <w:i/>
        <w:sz w:val="22"/>
      </w:rPr>
      <w:t>)</w:t>
    </w:r>
    <w:r>
      <w:rPr>
        <w:i/>
        <w:sz w:val="22"/>
      </w:rPr>
      <w:tab/>
    </w:r>
    <w:r>
      <w:rPr>
        <w:i/>
        <w:sz w:val="22"/>
      </w:rPr>
      <w:tab/>
    </w:r>
    <w:r>
      <w:rPr>
        <w:i/>
        <w:sz w:val="22"/>
      </w:rPr>
      <w:fldChar w:fldCharType="begin"/>
    </w:r>
    <w:r>
      <w:rPr>
        <w:i/>
        <w:sz w:val="22"/>
      </w:rPr>
      <w:instrText xml:space="preserve"> PAGE  \* Arabic  \* MERGEFORMAT </w:instrText>
    </w:r>
    <w:r>
      <w:rPr>
        <w:i/>
        <w:sz w:val="22"/>
      </w:rPr>
      <w:fldChar w:fldCharType="separate"/>
    </w:r>
    <w:r w:rsidR="00D71D7C">
      <w:rPr>
        <w:i/>
        <w:noProof/>
        <w:sz w:val="22"/>
      </w:rPr>
      <w:t>3</w:t>
    </w:r>
    <w:r>
      <w:rPr>
        <w:i/>
        <w:sz w:val="22"/>
      </w:rPr>
      <w:fldChar w:fldCharType="end"/>
    </w:r>
    <w:r>
      <w:rPr>
        <w:i/>
        <w:sz w:val="22"/>
      </w:rPr>
      <w:t xml:space="preserve"> of </w:t>
    </w:r>
    <w:fldSimple w:instr=" NUMPAGES  \* Arabic  \* MERGEFORMAT ">
      <w:r w:rsidR="00D71D7C" w:rsidRPr="00D71D7C">
        <w:rPr>
          <w:i/>
          <w:noProof/>
          <w:sz w:val="22"/>
        </w:rPr>
        <w:t>3</w:t>
      </w:r>
    </w:fldSimple>
  </w:p>
  <w:p w14:paraId="1E628532" w14:textId="77777777" w:rsidR="00B01432" w:rsidRDefault="00B01432" w:rsidP="00BA6341">
    <w:pPr>
      <w:pStyle w:val="Footer"/>
    </w:pPr>
    <w:r w:rsidRPr="004B6382">
      <w:rPr>
        <w:i/>
        <w:sz w:val="22"/>
      </w:rPr>
      <w:fldChar w:fldCharType="begin"/>
    </w:r>
    <w:r w:rsidRPr="004B6382">
      <w:rPr>
        <w:i/>
        <w:sz w:val="22"/>
      </w:rPr>
      <w:instrText xml:space="preserve"> FILENAME </w:instrText>
    </w:r>
    <w:r w:rsidRPr="004B6382">
      <w:rPr>
        <w:i/>
        <w:sz w:val="22"/>
      </w:rPr>
      <w:fldChar w:fldCharType="separate"/>
    </w:r>
    <w:r w:rsidR="00D71D7C">
      <w:rPr>
        <w:i/>
        <w:noProof/>
        <w:sz w:val="22"/>
      </w:rPr>
      <w:t>Weights_and_Measures_P1_LM-Map_IG_May2017.docx</w:t>
    </w:r>
    <w:r w:rsidRPr="004B6382">
      <w:rPr>
        <w:i/>
        <w:sz w:val="22"/>
      </w:rPr>
      <w:fldChar w:fldCharType="end"/>
    </w:r>
    <w:r>
      <w:rPr>
        <w:i/>
        <w:sz w:val="22"/>
      </w:rPr>
      <w:tab/>
    </w:r>
    <w:r>
      <w:rPr>
        <w:i/>
        <w:sz w:val="22"/>
      </w:rPr>
      <w:tab/>
      <w:t>Weights and Measures Learning Module Map</w:t>
    </w:r>
    <w:r w:rsidRPr="004B6382">
      <w:rPr>
        <w:i/>
        <w:sz w:val="22"/>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D40996" w14:textId="77777777" w:rsidR="00B01432" w:rsidRDefault="00B01432" w:rsidP="00BA6341">
      <w:r>
        <w:separator/>
      </w:r>
    </w:p>
  </w:footnote>
  <w:footnote w:type="continuationSeparator" w:id="0">
    <w:p w14:paraId="3826EBE4" w14:textId="77777777" w:rsidR="00B01432" w:rsidRDefault="00B01432" w:rsidP="00BA634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07FCC"/>
    <w:multiLevelType w:val="hybridMultilevel"/>
    <w:tmpl w:val="8E04B2C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120F0F93"/>
    <w:multiLevelType w:val="hybridMultilevel"/>
    <w:tmpl w:val="8F3A4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3C01C8"/>
    <w:multiLevelType w:val="hybridMultilevel"/>
    <w:tmpl w:val="236C2D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F56805"/>
    <w:multiLevelType w:val="hybridMultilevel"/>
    <w:tmpl w:val="8AD6D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2531AE"/>
    <w:multiLevelType w:val="hybridMultilevel"/>
    <w:tmpl w:val="3AF6434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6">
    <w:nsid w:val="75CA1315"/>
    <w:multiLevelType w:val="hybridMultilevel"/>
    <w:tmpl w:val="6200F9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F7E5582"/>
    <w:multiLevelType w:val="hybridMultilevel"/>
    <w:tmpl w:val="6C6CD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5"/>
  </w:num>
  <w:num w:numId="4">
    <w:abstractNumId w:val="4"/>
  </w:num>
  <w:num w:numId="5">
    <w:abstractNumId w:val="6"/>
  </w:num>
  <w:num w:numId="6">
    <w:abstractNumId w:val="1"/>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82D"/>
    <w:rsid w:val="00002089"/>
    <w:rsid w:val="000169F6"/>
    <w:rsid w:val="00022697"/>
    <w:rsid w:val="00057F31"/>
    <w:rsid w:val="00062385"/>
    <w:rsid w:val="0006519B"/>
    <w:rsid w:val="0006672A"/>
    <w:rsid w:val="0008239A"/>
    <w:rsid w:val="0008301C"/>
    <w:rsid w:val="000A01B1"/>
    <w:rsid w:val="000A38BE"/>
    <w:rsid w:val="000A691F"/>
    <w:rsid w:val="000D7C1C"/>
    <w:rsid w:val="000E2A81"/>
    <w:rsid w:val="000F0261"/>
    <w:rsid w:val="00127329"/>
    <w:rsid w:val="00143292"/>
    <w:rsid w:val="001549D5"/>
    <w:rsid w:val="001636A6"/>
    <w:rsid w:val="00173F72"/>
    <w:rsid w:val="001804E6"/>
    <w:rsid w:val="001872F7"/>
    <w:rsid w:val="001A137A"/>
    <w:rsid w:val="001A2987"/>
    <w:rsid w:val="001A6B62"/>
    <w:rsid w:val="001C2FA7"/>
    <w:rsid w:val="001C7CC7"/>
    <w:rsid w:val="001D2540"/>
    <w:rsid w:val="001D5176"/>
    <w:rsid w:val="001E2956"/>
    <w:rsid w:val="001F4B8C"/>
    <w:rsid w:val="001F75D7"/>
    <w:rsid w:val="00206839"/>
    <w:rsid w:val="00225FD2"/>
    <w:rsid w:val="00245147"/>
    <w:rsid w:val="00250C91"/>
    <w:rsid w:val="0026048B"/>
    <w:rsid w:val="00262992"/>
    <w:rsid w:val="002654DD"/>
    <w:rsid w:val="002657CD"/>
    <w:rsid w:val="002B75B8"/>
    <w:rsid w:val="002F2305"/>
    <w:rsid w:val="002F4555"/>
    <w:rsid w:val="0031160F"/>
    <w:rsid w:val="0031544F"/>
    <w:rsid w:val="00330D8E"/>
    <w:rsid w:val="00331C35"/>
    <w:rsid w:val="00344BEB"/>
    <w:rsid w:val="003A6557"/>
    <w:rsid w:val="003C6931"/>
    <w:rsid w:val="003F6700"/>
    <w:rsid w:val="00410AEB"/>
    <w:rsid w:val="00425E92"/>
    <w:rsid w:val="0048434C"/>
    <w:rsid w:val="00487F7E"/>
    <w:rsid w:val="004A6066"/>
    <w:rsid w:val="004B4CE7"/>
    <w:rsid w:val="004E1D21"/>
    <w:rsid w:val="004E405A"/>
    <w:rsid w:val="004E56CF"/>
    <w:rsid w:val="004F237F"/>
    <w:rsid w:val="00522899"/>
    <w:rsid w:val="00556465"/>
    <w:rsid w:val="005658F7"/>
    <w:rsid w:val="00584D29"/>
    <w:rsid w:val="00594AFF"/>
    <w:rsid w:val="005B5C3F"/>
    <w:rsid w:val="005D033C"/>
    <w:rsid w:val="005E6CED"/>
    <w:rsid w:val="005F432B"/>
    <w:rsid w:val="006537B7"/>
    <w:rsid w:val="00661215"/>
    <w:rsid w:val="006714D8"/>
    <w:rsid w:val="006C2A7B"/>
    <w:rsid w:val="006E694C"/>
    <w:rsid w:val="0073720E"/>
    <w:rsid w:val="0073779E"/>
    <w:rsid w:val="00740211"/>
    <w:rsid w:val="00750B14"/>
    <w:rsid w:val="00760733"/>
    <w:rsid w:val="0077389A"/>
    <w:rsid w:val="007755B7"/>
    <w:rsid w:val="007817E7"/>
    <w:rsid w:val="007A2717"/>
    <w:rsid w:val="007A3184"/>
    <w:rsid w:val="007B1758"/>
    <w:rsid w:val="007C391B"/>
    <w:rsid w:val="007C60BC"/>
    <w:rsid w:val="007C6E8F"/>
    <w:rsid w:val="00800781"/>
    <w:rsid w:val="008067B1"/>
    <w:rsid w:val="008520AE"/>
    <w:rsid w:val="008613B8"/>
    <w:rsid w:val="00881FB3"/>
    <w:rsid w:val="008D7924"/>
    <w:rsid w:val="00901EFE"/>
    <w:rsid w:val="00913220"/>
    <w:rsid w:val="00920724"/>
    <w:rsid w:val="00937958"/>
    <w:rsid w:val="00994CF3"/>
    <w:rsid w:val="009C30A7"/>
    <w:rsid w:val="009D2299"/>
    <w:rsid w:val="009D5E10"/>
    <w:rsid w:val="00A039E7"/>
    <w:rsid w:val="00A12704"/>
    <w:rsid w:val="00A17F09"/>
    <w:rsid w:val="00A37C88"/>
    <w:rsid w:val="00AB2059"/>
    <w:rsid w:val="00AE21A9"/>
    <w:rsid w:val="00AE3E1C"/>
    <w:rsid w:val="00AF7F5F"/>
    <w:rsid w:val="00B01432"/>
    <w:rsid w:val="00B22522"/>
    <w:rsid w:val="00B456A3"/>
    <w:rsid w:val="00B45A75"/>
    <w:rsid w:val="00B50656"/>
    <w:rsid w:val="00B64366"/>
    <w:rsid w:val="00B8466D"/>
    <w:rsid w:val="00B95584"/>
    <w:rsid w:val="00BA6341"/>
    <w:rsid w:val="00BA7206"/>
    <w:rsid w:val="00BD64A7"/>
    <w:rsid w:val="00BE5B3A"/>
    <w:rsid w:val="00BF3657"/>
    <w:rsid w:val="00BF4198"/>
    <w:rsid w:val="00BF487C"/>
    <w:rsid w:val="00C42FCF"/>
    <w:rsid w:val="00C97637"/>
    <w:rsid w:val="00CC187F"/>
    <w:rsid w:val="00D149F2"/>
    <w:rsid w:val="00D42CC8"/>
    <w:rsid w:val="00D54874"/>
    <w:rsid w:val="00D71D7C"/>
    <w:rsid w:val="00D817C6"/>
    <w:rsid w:val="00D82475"/>
    <w:rsid w:val="00D8382D"/>
    <w:rsid w:val="00D95B57"/>
    <w:rsid w:val="00DA09EB"/>
    <w:rsid w:val="00DE0103"/>
    <w:rsid w:val="00E35F68"/>
    <w:rsid w:val="00E44C39"/>
    <w:rsid w:val="00E6094C"/>
    <w:rsid w:val="00E9624A"/>
    <w:rsid w:val="00EB1BE3"/>
    <w:rsid w:val="00EC3CD8"/>
    <w:rsid w:val="00EF49B6"/>
    <w:rsid w:val="00F00AB7"/>
    <w:rsid w:val="00F07C01"/>
    <w:rsid w:val="00F11287"/>
    <w:rsid w:val="00F22695"/>
    <w:rsid w:val="00F32FF3"/>
    <w:rsid w:val="00F704EE"/>
    <w:rsid w:val="00F72D7E"/>
    <w:rsid w:val="00F878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8B05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382D"/>
    <w:rPr>
      <w:sz w:val="24"/>
      <w:szCs w:val="24"/>
    </w:rPr>
  </w:style>
  <w:style w:type="paragraph" w:styleId="Heading1">
    <w:name w:val="heading 1"/>
    <w:basedOn w:val="Normal"/>
    <w:next w:val="Normal"/>
    <w:qFormat/>
    <w:rsid w:val="00D8382D"/>
    <w:pPr>
      <w:keepNext/>
      <w:jc w:val="center"/>
      <w:outlineLvl w:val="0"/>
    </w:pPr>
    <w:rPr>
      <w:rFonts w:ascii="Arial" w:hAnsi="Arial" w:cs="Arial"/>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44BEB"/>
    <w:pPr>
      <w:widowControl w:val="0"/>
      <w:tabs>
        <w:tab w:val="center" w:pos="4320"/>
        <w:tab w:val="right" w:pos="8640"/>
      </w:tabs>
      <w:adjustRightInd w:val="0"/>
      <w:textAlignment w:val="baseline"/>
    </w:pPr>
  </w:style>
  <w:style w:type="character" w:customStyle="1" w:styleId="HeaderChar">
    <w:name w:val="Header Char"/>
    <w:basedOn w:val="DefaultParagraphFont"/>
    <w:link w:val="Header"/>
    <w:rsid w:val="00344BEB"/>
    <w:rPr>
      <w:sz w:val="24"/>
      <w:szCs w:val="24"/>
    </w:rPr>
  </w:style>
  <w:style w:type="paragraph" w:customStyle="1" w:styleId="BulletList">
    <w:name w:val="BulletList"/>
    <w:basedOn w:val="Normal"/>
    <w:next w:val="Normal"/>
    <w:qFormat/>
    <w:rsid w:val="00344BEB"/>
    <w:pPr>
      <w:keepLines/>
      <w:numPr>
        <w:numId w:val="3"/>
      </w:numPr>
      <w:tabs>
        <w:tab w:val="left" w:pos="720"/>
        <w:tab w:val="left" w:pos="1440"/>
        <w:tab w:val="left" w:pos="2160"/>
        <w:tab w:val="left" w:pos="2880"/>
        <w:tab w:val="left" w:pos="3600"/>
        <w:tab w:val="left" w:pos="4320"/>
        <w:tab w:val="left" w:pos="5040"/>
        <w:tab w:val="left" w:pos="6120"/>
        <w:tab w:val="left" w:pos="7200"/>
      </w:tabs>
    </w:pPr>
    <w:rPr>
      <w:szCs w:val="20"/>
    </w:rPr>
  </w:style>
  <w:style w:type="paragraph" w:styleId="BodyText">
    <w:name w:val="Body Text"/>
    <w:basedOn w:val="Normal"/>
    <w:link w:val="BodyTextChar"/>
    <w:rsid w:val="00344BEB"/>
    <w:pPr>
      <w:spacing w:after="120"/>
    </w:pPr>
  </w:style>
  <w:style w:type="character" w:customStyle="1" w:styleId="BodyTextChar">
    <w:name w:val="Body Text Char"/>
    <w:basedOn w:val="DefaultParagraphFont"/>
    <w:link w:val="BodyText"/>
    <w:rsid w:val="00344BEB"/>
    <w:rPr>
      <w:sz w:val="24"/>
      <w:szCs w:val="24"/>
    </w:rPr>
  </w:style>
  <w:style w:type="paragraph" w:styleId="BalloonText">
    <w:name w:val="Balloon Text"/>
    <w:basedOn w:val="Normal"/>
    <w:link w:val="BalloonTextChar"/>
    <w:rsid w:val="00DA09EB"/>
    <w:rPr>
      <w:rFonts w:ascii="Tahoma" w:hAnsi="Tahoma" w:cs="Tahoma"/>
      <w:sz w:val="16"/>
      <w:szCs w:val="16"/>
    </w:rPr>
  </w:style>
  <w:style w:type="character" w:customStyle="1" w:styleId="BalloonTextChar">
    <w:name w:val="Balloon Text Char"/>
    <w:basedOn w:val="DefaultParagraphFont"/>
    <w:link w:val="BalloonText"/>
    <w:rsid w:val="00DA09EB"/>
    <w:rPr>
      <w:rFonts w:ascii="Tahoma" w:hAnsi="Tahoma" w:cs="Tahoma"/>
      <w:sz w:val="16"/>
      <w:szCs w:val="16"/>
    </w:rPr>
  </w:style>
  <w:style w:type="character" w:styleId="CommentReference">
    <w:name w:val="annotation reference"/>
    <w:basedOn w:val="DefaultParagraphFont"/>
    <w:rsid w:val="00DA09EB"/>
    <w:rPr>
      <w:sz w:val="16"/>
      <w:szCs w:val="16"/>
    </w:rPr>
  </w:style>
  <w:style w:type="paragraph" w:styleId="CommentText">
    <w:name w:val="annotation text"/>
    <w:basedOn w:val="Normal"/>
    <w:link w:val="CommentTextChar"/>
    <w:rsid w:val="00DA09EB"/>
    <w:rPr>
      <w:sz w:val="20"/>
      <w:szCs w:val="20"/>
    </w:rPr>
  </w:style>
  <w:style w:type="character" w:customStyle="1" w:styleId="CommentTextChar">
    <w:name w:val="Comment Text Char"/>
    <w:basedOn w:val="DefaultParagraphFont"/>
    <w:link w:val="CommentText"/>
    <w:rsid w:val="00DA09EB"/>
  </w:style>
  <w:style w:type="paragraph" w:styleId="CommentSubject">
    <w:name w:val="annotation subject"/>
    <w:basedOn w:val="CommentText"/>
    <w:next w:val="CommentText"/>
    <w:link w:val="CommentSubjectChar"/>
    <w:rsid w:val="00DA09EB"/>
    <w:rPr>
      <w:b/>
      <w:bCs/>
    </w:rPr>
  </w:style>
  <w:style w:type="character" w:customStyle="1" w:styleId="CommentSubjectChar">
    <w:name w:val="Comment Subject Char"/>
    <w:basedOn w:val="CommentTextChar"/>
    <w:link w:val="CommentSubject"/>
    <w:rsid w:val="00DA09EB"/>
    <w:rPr>
      <w:b/>
      <w:bCs/>
    </w:rPr>
  </w:style>
  <w:style w:type="paragraph" w:styleId="Footer">
    <w:name w:val="footer"/>
    <w:basedOn w:val="Normal"/>
    <w:link w:val="FooterChar"/>
    <w:rsid w:val="00BA6341"/>
    <w:pPr>
      <w:tabs>
        <w:tab w:val="center" w:pos="4680"/>
        <w:tab w:val="right" w:pos="9360"/>
      </w:tabs>
    </w:pPr>
  </w:style>
  <w:style w:type="character" w:customStyle="1" w:styleId="FooterChar">
    <w:name w:val="Footer Char"/>
    <w:basedOn w:val="DefaultParagraphFont"/>
    <w:link w:val="Footer"/>
    <w:rsid w:val="00BA6341"/>
    <w:rPr>
      <w:sz w:val="24"/>
      <w:szCs w:val="24"/>
    </w:rPr>
  </w:style>
  <w:style w:type="paragraph" w:customStyle="1" w:styleId="txlb1">
    <w:name w:val="txlb1"/>
    <w:basedOn w:val="Normal"/>
    <w:rsid w:val="00BA6341"/>
    <w:pPr>
      <w:keepNext/>
      <w:widowControl w:val="0"/>
      <w:adjustRightInd w:val="0"/>
      <w:textAlignment w:val="baseline"/>
    </w:pPr>
    <w:rPr>
      <w:rFonts w:ascii="Arial Narrow" w:hAnsi="Arial Narrow"/>
      <w:b/>
      <w:color w:val="000000"/>
    </w:rPr>
  </w:style>
  <w:style w:type="paragraph" w:styleId="ListParagraph">
    <w:name w:val="List Paragraph"/>
    <w:basedOn w:val="Normal"/>
    <w:uiPriority w:val="34"/>
    <w:qFormat/>
    <w:rsid w:val="0073779E"/>
    <w:pPr>
      <w:spacing w:after="200" w:line="276" w:lineRule="auto"/>
      <w:ind w:left="720"/>
      <w:contextualSpacing/>
    </w:pPr>
    <w:rPr>
      <w:rFonts w:ascii="Calibri" w:eastAsia="Calibri" w:hAnsi="Calibri"/>
      <w:sz w:val="22"/>
      <w:szCs w:val="22"/>
    </w:rPr>
  </w:style>
  <w:style w:type="character" w:styleId="Hyperlink">
    <w:name w:val="Hyperlink"/>
    <w:basedOn w:val="DefaultParagraphFont"/>
    <w:rsid w:val="004E56CF"/>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382D"/>
    <w:rPr>
      <w:sz w:val="24"/>
      <w:szCs w:val="24"/>
    </w:rPr>
  </w:style>
  <w:style w:type="paragraph" w:styleId="Heading1">
    <w:name w:val="heading 1"/>
    <w:basedOn w:val="Normal"/>
    <w:next w:val="Normal"/>
    <w:qFormat/>
    <w:rsid w:val="00D8382D"/>
    <w:pPr>
      <w:keepNext/>
      <w:jc w:val="center"/>
      <w:outlineLvl w:val="0"/>
    </w:pPr>
    <w:rPr>
      <w:rFonts w:ascii="Arial" w:hAnsi="Arial" w:cs="Arial"/>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44BEB"/>
    <w:pPr>
      <w:widowControl w:val="0"/>
      <w:tabs>
        <w:tab w:val="center" w:pos="4320"/>
        <w:tab w:val="right" w:pos="8640"/>
      </w:tabs>
      <w:adjustRightInd w:val="0"/>
      <w:textAlignment w:val="baseline"/>
    </w:pPr>
  </w:style>
  <w:style w:type="character" w:customStyle="1" w:styleId="HeaderChar">
    <w:name w:val="Header Char"/>
    <w:basedOn w:val="DefaultParagraphFont"/>
    <w:link w:val="Header"/>
    <w:rsid w:val="00344BEB"/>
    <w:rPr>
      <w:sz w:val="24"/>
      <w:szCs w:val="24"/>
    </w:rPr>
  </w:style>
  <w:style w:type="paragraph" w:customStyle="1" w:styleId="BulletList">
    <w:name w:val="BulletList"/>
    <w:basedOn w:val="Normal"/>
    <w:next w:val="Normal"/>
    <w:qFormat/>
    <w:rsid w:val="00344BEB"/>
    <w:pPr>
      <w:keepLines/>
      <w:numPr>
        <w:numId w:val="3"/>
      </w:numPr>
      <w:tabs>
        <w:tab w:val="left" w:pos="720"/>
        <w:tab w:val="left" w:pos="1440"/>
        <w:tab w:val="left" w:pos="2160"/>
        <w:tab w:val="left" w:pos="2880"/>
        <w:tab w:val="left" w:pos="3600"/>
        <w:tab w:val="left" w:pos="4320"/>
        <w:tab w:val="left" w:pos="5040"/>
        <w:tab w:val="left" w:pos="6120"/>
        <w:tab w:val="left" w:pos="7200"/>
      </w:tabs>
    </w:pPr>
    <w:rPr>
      <w:szCs w:val="20"/>
    </w:rPr>
  </w:style>
  <w:style w:type="paragraph" w:styleId="BodyText">
    <w:name w:val="Body Text"/>
    <w:basedOn w:val="Normal"/>
    <w:link w:val="BodyTextChar"/>
    <w:rsid w:val="00344BEB"/>
    <w:pPr>
      <w:spacing w:after="120"/>
    </w:pPr>
  </w:style>
  <w:style w:type="character" w:customStyle="1" w:styleId="BodyTextChar">
    <w:name w:val="Body Text Char"/>
    <w:basedOn w:val="DefaultParagraphFont"/>
    <w:link w:val="BodyText"/>
    <w:rsid w:val="00344BEB"/>
    <w:rPr>
      <w:sz w:val="24"/>
      <w:szCs w:val="24"/>
    </w:rPr>
  </w:style>
  <w:style w:type="paragraph" w:styleId="BalloonText">
    <w:name w:val="Balloon Text"/>
    <w:basedOn w:val="Normal"/>
    <w:link w:val="BalloonTextChar"/>
    <w:rsid w:val="00DA09EB"/>
    <w:rPr>
      <w:rFonts w:ascii="Tahoma" w:hAnsi="Tahoma" w:cs="Tahoma"/>
      <w:sz w:val="16"/>
      <w:szCs w:val="16"/>
    </w:rPr>
  </w:style>
  <w:style w:type="character" w:customStyle="1" w:styleId="BalloonTextChar">
    <w:name w:val="Balloon Text Char"/>
    <w:basedOn w:val="DefaultParagraphFont"/>
    <w:link w:val="BalloonText"/>
    <w:rsid w:val="00DA09EB"/>
    <w:rPr>
      <w:rFonts w:ascii="Tahoma" w:hAnsi="Tahoma" w:cs="Tahoma"/>
      <w:sz w:val="16"/>
      <w:szCs w:val="16"/>
    </w:rPr>
  </w:style>
  <w:style w:type="character" w:styleId="CommentReference">
    <w:name w:val="annotation reference"/>
    <w:basedOn w:val="DefaultParagraphFont"/>
    <w:rsid w:val="00DA09EB"/>
    <w:rPr>
      <w:sz w:val="16"/>
      <w:szCs w:val="16"/>
    </w:rPr>
  </w:style>
  <w:style w:type="paragraph" w:styleId="CommentText">
    <w:name w:val="annotation text"/>
    <w:basedOn w:val="Normal"/>
    <w:link w:val="CommentTextChar"/>
    <w:rsid w:val="00DA09EB"/>
    <w:rPr>
      <w:sz w:val="20"/>
      <w:szCs w:val="20"/>
    </w:rPr>
  </w:style>
  <w:style w:type="character" w:customStyle="1" w:styleId="CommentTextChar">
    <w:name w:val="Comment Text Char"/>
    <w:basedOn w:val="DefaultParagraphFont"/>
    <w:link w:val="CommentText"/>
    <w:rsid w:val="00DA09EB"/>
  </w:style>
  <w:style w:type="paragraph" w:styleId="CommentSubject">
    <w:name w:val="annotation subject"/>
    <w:basedOn w:val="CommentText"/>
    <w:next w:val="CommentText"/>
    <w:link w:val="CommentSubjectChar"/>
    <w:rsid w:val="00DA09EB"/>
    <w:rPr>
      <w:b/>
      <w:bCs/>
    </w:rPr>
  </w:style>
  <w:style w:type="character" w:customStyle="1" w:styleId="CommentSubjectChar">
    <w:name w:val="Comment Subject Char"/>
    <w:basedOn w:val="CommentTextChar"/>
    <w:link w:val="CommentSubject"/>
    <w:rsid w:val="00DA09EB"/>
    <w:rPr>
      <w:b/>
      <w:bCs/>
    </w:rPr>
  </w:style>
  <w:style w:type="paragraph" w:styleId="Footer">
    <w:name w:val="footer"/>
    <w:basedOn w:val="Normal"/>
    <w:link w:val="FooterChar"/>
    <w:rsid w:val="00BA6341"/>
    <w:pPr>
      <w:tabs>
        <w:tab w:val="center" w:pos="4680"/>
        <w:tab w:val="right" w:pos="9360"/>
      </w:tabs>
    </w:pPr>
  </w:style>
  <w:style w:type="character" w:customStyle="1" w:styleId="FooterChar">
    <w:name w:val="Footer Char"/>
    <w:basedOn w:val="DefaultParagraphFont"/>
    <w:link w:val="Footer"/>
    <w:rsid w:val="00BA6341"/>
    <w:rPr>
      <w:sz w:val="24"/>
      <w:szCs w:val="24"/>
    </w:rPr>
  </w:style>
  <w:style w:type="paragraph" w:customStyle="1" w:styleId="txlb1">
    <w:name w:val="txlb1"/>
    <w:basedOn w:val="Normal"/>
    <w:rsid w:val="00BA6341"/>
    <w:pPr>
      <w:keepNext/>
      <w:widowControl w:val="0"/>
      <w:adjustRightInd w:val="0"/>
      <w:textAlignment w:val="baseline"/>
    </w:pPr>
    <w:rPr>
      <w:rFonts w:ascii="Arial Narrow" w:hAnsi="Arial Narrow"/>
      <w:b/>
      <w:color w:val="000000"/>
    </w:rPr>
  </w:style>
  <w:style w:type="paragraph" w:styleId="ListParagraph">
    <w:name w:val="List Paragraph"/>
    <w:basedOn w:val="Normal"/>
    <w:uiPriority w:val="34"/>
    <w:qFormat/>
    <w:rsid w:val="0073779E"/>
    <w:pPr>
      <w:spacing w:after="200" w:line="276" w:lineRule="auto"/>
      <w:ind w:left="720"/>
      <w:contextualSpacing/>
    </w:pPr>
    <w:rPr>
      <w:rFonts w:ascii="Calibri" w:eastAsia="Calibri" w:hAnsi="Calibri"/>
      <w:sz w:val="22"/>
      <w:szCs w:val="22"/>
    </w:rPr>
  </w:style>
  <w:style w:type="character" w:styleId="Hyperlink">
    <w:name w:val="Hyperlink"/>
    <w:basedOn w:val="DefaultParagraphFont"/>
    <w:rsid w:val="004E56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cme-nm.org" TargetMode="External"/><Relationship Id="rId9" Type="http://schemas.openxmlformats.org/officeDocument/2006/relationships/hyperlink" Target="http://scme-nm.org"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683</Words>
  <Characters>3896</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No</vt:lpstr>
    </vt:vector>
  </TitlesOfParts>
  <Company>Intel Corporation</Company>
  <LinksUpToDate>false</LinksUpToDate>
  <CharactersWithSpaces>4570</CharactersWithSpaces>
  <SharedDoc>false</SharedDoc>
  <HLinks>
    <vt:vector size="12" baseType="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dc:title>
  <dc:creator>jlhyder</dc:creator>
  <cp:lastModifiedBy>MJ Willis</cp:lastModifiedBy>
  <cp:revision>4</cp:revision>
  <cp:lastPrinted>2010-05-31T22:07:00Z</cp:lastPrinted>
  <dcterms:created xsi:type="dcterms:W3CDTF">2017-05-24T21:25:00Z</dcterms:created>
  <dcterms:modified xsi:type="dcterms:W3CDTF">2017-05-24T21:35:00Z</dcterms:modified>
</cp:coreProperties>
</file>