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eastAsia="Times New Roman" w:hAnsi="Arial" w:cs="Arial"/>
          <w:sz w:val="36"/>
          <w:szCs w:val="36"/>
        </w:rPr>
        <w:id w:val="-76808908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2E0E92" w:rsidRPr="002E0E92" w:rsidRDefault="002E0E92">
          <w:pPr>
            <w:rPr>
              <w:rFonts w:ascii="Arial" w:eastAsia="Times New Roman" w:hAnsi="Arial" w:cs="Arial"/>
              <w:sz w:val="36"/>
              <w:szCs w:val="36"/>
            </w:rPr>
          </w:pPr>
          <w:r w:rsidRPr="001D199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748ED13" wp14:editId="23BBD03D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66101</wp:posOffset>
                    </wp:positionV>
                    <wp:extent cx="6832600" cy="980501"/>
                    <wp:effectExtent l="0" t="0" r="0" b="0"/>
                    <wp:wrapNone/>
                    <wp:docPr id="8" name="Tit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832600" cy="980501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2E0E92" w:rsidRDefault="002E0E92" w:rsidP="001D11B4">
                                <w:pPr>
                                  <w:pStyle w:val="NormalWeb"/>
                                  <w:spacing w:before="0" w:beforeAutospacing="0" w:after="6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Garamond" w:hAnsi="Garamond" w:cstheme="minorBidi"/>
                                    <w:b/>
                                    <w:bCs/>
                                    <w:color w:val="000000"/>
                                    <w:sz w:val="72"/>
                                    <w:szCs w:val="72"/>
                                    <w14:shadow w14:blurRad="38100" w14:dist="38100" w14:dir="270000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000000">
                                          <w14:alpha w14:val="50000"/>
                                        </w14:srgb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Department of Transportation</w:t>
                                </w:r>
                              </w:p>
                            </w:txbxContent>
                          </wps:txbx>
                          <wps:bodyPr wrap="square" anchor="b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itle 1" o:spid="_x0000_s1026" type="#_x0000_t202" style="position:absolute;margin-left:0;margin-top:5.2pt;width:538pt;height: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" filled="f" stroked="f">
                    <v:path arrowok="t"/>
                    <v:textbox>
                      <w:txbxContent>
                        <w:p w:rsidR="002E0E92" w:rsidRDefault="002E0E92" w:rsidP="001D11B4">
                          <w:pPr>
                            <w:pStyle w:val="NormalWeb"/>
                            <w:spacing w:before="0" w:beforeAutospacing="0" w:after="6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Garamond" w:hAnsi="Garamond" w:cstheme="minorBidi"/>
                              <w:b/>
                              <w:bCs/>
                              <w:color w:val="000000"/>
                              <w:sz w:val="72"/>
                              <w:szCs w:val="72"/>
                              <w14:shadow w14:blurRad="38100" w14:dist="38100" w14:dir="270000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Department of Transportation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1D199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3081EF" wp14:editId="1AF59C7F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980502</wp:posOffset>
                    </wp:positionV>
                    <wp:extent cx="6116955" cy="5783856"/>
                    <wp:effectExtent l="0" t="0" r="0" b="0"/>
                    <wp:wrapNone/>
                    <wp:docPr id="2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16955" cy="57838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ACADs (08-006</w:t>
                                </w:r>
                                <w:proofErr w:type="gramStart"/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)  Covered</w:t>
                                </w:r>
                                <w:proofErr w:type="gramEnd"/>
                              </w:p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tbl>
                                <w:tblPr>
                                  <w:tblW w:w="4230" w:type="pct"/>
                                  <w:jc w:val="center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1297"/>
                                  <w:gridCol w:w="1225"/>
                                  <w:gridCol w:w="940"/>
                                  <w:gridCol w:w="940"/>
                                  <w:gridCol w:w="940"/>
                                  <w:gridCol w:w="940"/>
                                  <w:gridCol w:w="940"/>
                                  <w:gridCol w:w="940"/>
                                </w:tblGrid>
                                <w:tr w:rsidR="002E0E92" w:rsidRPr="001D11B4" w:rsidTr="001D1996">
                                  <w:trPr>
                                    <w:trHeight w:val="477"/>
                                    <w:jc w:val="center"/>
                                  </w:trPr>
                                  <w:tc>
                                    <w:tcPr>
                                      <w:tcW w:w="92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3.3.5.3.7</w:t>
                                      </w: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4.14.3.7</w:t>
                                      </w: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2E0E92" w:rsidRPr="001D11B4" w:rsidTr="001D1996">
                                  <w:trPr>
                                    <w:trHeight w:val="477"/>
                                    <w:jc w:val="center"/>
                                  </w:trPr>
                                  <w:tc>
                                    <w:tcPr>
                                      <w:tcW w:w="92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2E0E92" w:rsidRPr="001D11B4" w:rsidTr="001D1996">
                                  <w:trPr>
                                    <w:trHeight w:val="477"/>
                                    <w:jc w:val="center"/>
                                  </w:trPr>
                                  <w:tc>
                                    <w:tcPr>
                                      <w:tcW w:w="92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2E0E92" w:rsidRPr="001D11B4" w:rsidTr="001D1996">
                                  <w:trPr>
                                    <w:trHeight w:val="477"/>
                                    <w:jc w:val="center"/>
                                  </w:trPr>
                                  <w:tc>
                                    <w:tcPr>
                                      <w:tcW w:w="92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92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2E0E92" w:rsidRPr="001D11B4" w:rsidRDefault="002E0E92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Keywords</w:t>
                                </w:r>
                              </w:p>
                              <w:p w:rsidR="002E0E92" w:rsidRPr="00981390" w:rsidRDefault="00981390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981390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Hazardous material transportation</w:t>
                                </w:r>
                              </w:p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</w:p>
                              <w:p w:rsidR="002E0E92" w:rsidRPr="00981390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Description</w:t>
                                </w:r>
                              </w:p>
                              <w:p w:rsidR="002E0E92" w:rsidRPr="00981390" w:rsidRDefault="00981390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981390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This document provides a brief history of the Department of Transportation and its roles, philosophy and scope, and provides links to the agency website.</w:t>
                                </w:r>
                              </w:p>
                              <w:p w:rsidR="00981390" w:rsidRPr="001D11B4" w:rsidRDefault="00981390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2E0E92" w:rsidRPr="001D11B4" w:rsidRDefault="002E0E92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Supporting Material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Box 1" o:spid="_x0000_s1027" type="#_x0000_t202" style="position:absolute;margin-left:0;margin-top:77.2pt;width:481.65pt;height:4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" filled="f" stroked="f">
                    <v:textbox>
                      <w:txbxContent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ACADs (08-006</w:t>
                          </w:r>
                          <w:proofErr w:type="gramStart"/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)  Covered</w:t>
                          </w:r>
                          <w:proofErr w:type="gramEnd"/>
                        </w:p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tbl>
                          <w:tblPr>
                            <w:tblW w:w="4230" w:type="pct"/>
                            <w:jc w:val="center"/>
                            <w:tblCellMar>
                              <w:left w:w="0" w:type="dxa"/>
                              <w:right w:w="0" w:type="dxa"/>
                            </w:tblCellMar>
                            <w:tblLook w:val="0600" w:firstRow="0" w:lastRow="0" w:firstColumn="0" w:lastColumn="0" w:noHBand="1" w:noVBand="1"/>
                          </w:tblPr>
                          <w:tblGrid>
                            <w:gridCol w:w="1297"/>
                            <w:gridCol w:w="1225"/>
                            <w:gridCol w:w="940"/>
                            <w:gridCol w:w="940"/>
                            <w:gridCol w:w="940"/>
                            <w:gridCol w:w="940"/>
                            <w:gridCol w:w="940"/>
                            <w:gridCol w:w="940"/>
                          </w:tblGrid>
                          <w:tr w:rsidR="002E0E92" w:rsidRPr="001D11B4" w:rsidTr="001D1996">
                            <w:trPr>
                              <w:trHeight w:val="477"/>
                              <w:jc w:val="center"/>
                            </w:trPr>
                            <w:tc>
                              <w:tcPr>
                                <w:tcW w:w="92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3.3.5.3.7</w:t>
                                </w: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4.14.3.7</w:t>
                                </w: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2E0E92" w:rsidRPr="001D11B4" w:rsidTr="001D1996">
                            <w:trPr>
                              <w:trHeight w:val="477"/>
                              <w:jc w:val="center"/>
                            </w:trPr>
                            <w:tc>
                              <w:tcPr>
                                <w:tcW w:w="92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2E0E92" w:rsidRPr="001D11B4" w:rsidTr="001D1996">
                            <w:trPr>
                              <w:trHeight w:val="477"/>
                              <w:jc w:val="center"/>
                            </w:trPr>
                            <w:tc>
                              <w:tcPr>
                                <w:tcW w:w="92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2E0E92" w:rsidRPr="001D11B4" w:rsidTr="001D1996">
                            <w:trPr>
                              <w:trHeight w:val="477"/>
                              <w:jc w:val="center"/>
                            </w:trPr>
                            <w:tc>
                              <w:tcPr>
                                <w:tcW w:w="92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2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2E0E92" w:rsidRPr="001D11B4" w:rsidRDefault="002E0E92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</w:tr>
                        </w:tbl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Keywords</w:t>
                          </w:r>
                        </w:p>
                        <w:p w:rsidR="002E0E92" w:rsidRPr="00981390" w:rsidRDefault="00981390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</w:pPr>
                          <w:r w:rsidRPr="00981390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Hazardous material transportation</w:t>
                          </w:r>
                        </w:p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</w:p>
                        <w:p w:rsidR="002E0E92" w:rsidRPr="00981390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Description</w:t>
                          </w:r>
                        </w:p>
                        <w:p w:rsidR="002E0E92" w:rsidRPr="00981390" w:rsidRDefault="00981390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</w:pPr>
                          <w:r w:rsidRPr="00981390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This document provides a brief history of the Department of Transportation and its roles, philosophy and scope, and provides links to the agency website.</w:t>
                          </w:r>
                        </w:p>
                        <w:p w:rsidR="00981390" w:rsidRPr="001D11B4" w:rsidRDefault="00981390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2E0E92" w:rsidRPr="001D11B4" w:rsidRDefault="002E0E92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Supporting Material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5B81728D" wp14:editId="101470D4">
                <wp:extent cx="5943600" cy="7691755"/>
                <wp:effectExtent l="0" t="0" r="0" b="444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ocument background.jpg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7691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:rsidR="006A3848" w:rsidRDefault="006A3848" w:rsidP="006A3848">
      <w:pPr>
        <w:pStyle w:val="Title"/>
      </w:pPr>
      <w:r>
        <w:lastRenderedPageBreak/>
        <w:t>Department of Transportation</w:t>
      </w:r>
    </w:p>
    <w:p w:rsidR="006A3848" w:rsidRDefault="006A3848" w:rsidP="002E0E92">
      <w:pPr>
        <w:pStyle w:val="Heading1"/>
      </w:pPr>
      <w:r>
        <w:t>Mission</w:t>
      </w:r>
    </w:p>
    <w:p w:rsidR="006A3848" w:rsidRDefault="006A3848" w:rsidP="006A3848">
      <w:pPr>
        <w:pStyle w:val="NormalWeb"/>
        <w:shd w:val="clear" w:color="auto" w:fill="FFFFFF"/>
        <w:spacing w:before="0" w:beforeAutospacing="0" w:after="225" w:afterAutospacing="0" w:line="285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 mission of the Department is to:</w:t>
      </w:r>
    </w:p>
    <w:p w:rsidR="006A3848" w:rsidRDefault="006A3848" w:rsidP="006A3848">
      <w:pPr>
        <w:pStyle w:val="NormalWeb"/>
        <w:shd w:val="clear" w:color="auto" w:fill="FFFFFF"/>
        <w:spacing w:before="0" w:beforeAutospacing="0" w:after="225" w:afterAutospacing="0" w:line="285" w:lineRule="atLeast"/>
        <w:rPr>
          <w:rFonts w:ascii="Verdana" w:hAnsi="Verdana"/>
          <w:color w:val="000000"/>
          <w:sz w:val="20"/>
          <w:szCs w:val="20"/>
        </w:rPr>
      </w:pPr>
      <w:r>
        <w:rPr>
          <w:rStyle w:val="Emphasis"/>
          <w:rFonts w:ascii="Verdana" w:eastAsiaTheme="majorEastAsia" w:hAnsi="Verdana"/>
          <w:color w:val="000000"/>
          <w:sz w:val="20"/>
          <w:szCs w:val="20"/>
        </w:rPr>
        <w:t>Serve the United States by ensuring a fast, safe, efficient, accessible and convenient transportation system that meets our vital national interests and enhances the quality of life of the American people, today and into the future.</w:t>
      </w:r>
    </w:p>
    <w:p w:rsidR="006A3848" w:rsidRPr="002E0E92" w:rsidRDefault="006A3848" w:rsidP="002E0E92">
      <w:pPr>
        <w:pStyle w:val="Heading1"/>
      </w:pPr>
      <w:r w:rsidRPr="002E0E92">
        <w:rPr>
          <w:rStyle w:val="Strong"/>
          <w:b/>
          <w:bCs/>
        </w:rPr>
        <w:t>Statutory Authority</w:t>
      </w:r>
    </w:p>
    <w:p w:rsidR="006A3848" w:rsidRDefault="006A3848" w:rsidP="006A3848">
      <w:pPr>
        <w:pStyle w:val="NormalWeb"/>
        <w:shd w:val="clear" w:color="auto" w:fill="FFFFFF"/>
        <w:spacing w:before="0" w:beforeAutospacing="0" w:after="225" w:afterAutospacing="0" w:line="285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 Department of Transportation was established by an act of Congress on October 15, 1966. The Department’s first official day of operation was April 1, 1967.</w:t>
      </w:r>
    </w:p>
    <w:p w:rsidR="006A3848" w:rsidRDefault="006A3848" w:rsidP="006A3848">
      <w:pPr>
        <w:shd w:val="clear" w:color="auto" w:fill="FFFFFF"/>
        <w:spacing w:line="285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Updated: Tuesday, September 11, 2012</w:t>
      </w:r>
    </w:p>
    <w:p w:rsidR="00EC4EB0" w:rsidRPr="002E0E92" w:rsidRDefault="006A3848" w:rsidP="002E0E92">
      <w:pPr>
        <w:pStyle w:val="Heading1"/>
      </w:pPr>
      <w:r w:rsidRPr="002E0E92">
        <w:t>Nuclear Transportation Reference—Pipeline and Hazardous Materials Safety Administration</w:t>
      </w:r>
    </w:p>
    <w:p w:rsidR="006A3848" w:rsidRPr="006A3848" w:rsidRDefault="006A3848" w:rsidP="006A384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32E41"/>
          <w:sz w:val="18"/>
          <w:szCs w:val="18"/>
        </w:rPr>
      </w:pPr>
      <w:r w:rsidRPr="006A3848">
        <w:rPr>
          <w:rFonts w:ascii="Arial" w:eastAsia="Times New Roman" w:hAnsi="Arial" w:cs="Arial"/>
          <w:color w:val="032E41"/>
          <w:sz w:val="18"/>
          <w:szCs w:val="18"/>
        </w:rPr>
        <w:t>PHMSA's mission is to protect people and the environment from the risks inherent in transportation of hazardous materials - by pipeline and other modes of transportation.</w:t>
      </w:r>
    </w:p>
    <w:p w:rsidR="006A3848" w:rsidRPr="006A3848" w:rsidRDefault="006A3848" w:rsidP="002E0E92">
      <w:pPr>
        <w:pStyle w:val="Heading1"/>
        <w:rPr>
          <w:rFonts w:eastAsia="Times New Roman"/>
        </w:rPr>
      </w:pPr>
      <w:r w:rsidRPr="006A3848">
        <w:rPr>
          <w:rFonts w:eastAsia="Times New Roman"/>
        </w:rPr>
        <w:t>Agency Goals</w:t>
      </w:r>
    </w:p>
    <w:p w:rsidR="006A3848" w:rsidRPr="006A3848" w:rsidRDefault="006A3848" w:rsidP="006A38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32E41"/>
          <w:sz w:val="18"/>
          <w:szCs w:val="18"/>
        </w:rPr>
      </w:pPr>
      <w:r w:rsidRPr="006A3848">
        <w:rPr>
          <w:rFonts w:ascii="Arial" w:eastAsia="Times New Roman" w:hAnsi="Arial" w:cs="Arial"/>
          <w:color w:val="032E41"/>
          <w:sz w:val="18"/>
          <w:szCs w:val="18"/>
        </w:rPr>
        <w:t>Safety: To reduce the risk of harm to people due to the transportation of hazardous materials by pipelines and other modes.</w:t>
      </w:r>
    </w:p>
    <w:p w:rsidR="006A3848" w:rsidRPr="006A3848" w:rsidRDefault="006A3848" w:rsidP="006A38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32E41"/>
          <w:sz w:val="18"/>
          <w:szCs w:val="18"/>
        </w:rPr>
      </w:pPr>
      <w:r w:rsidRPr="006A3848">
        <w:rPr>
          <w:rFonts w:ascii="Arial" w:eastAsia="Times New Roman" w:hAnsi="Arial" w:cs="Arial"/>
          <w:color w:val="032E41"/>
          <w:sz w:val="18"/>
          <w:szCs w:val="18"/>
        </w:rPr>
        <w:t>Environmental Stewardship: To reduce the risk of harm to the environment due to the transportation of oil and hazardous materials by pipeline and other modes.</w:t>
      </w:r>
    </w:p>
    <w:p w:rsidR="006A3848" w:rsidRPr="006A3848" w:rsidRDefault="006A3848" w:rsidP="006A38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32E41"/>
          <w:sz w:val="18"/>
          <w:szCs w:val="18"/>
        </w:rPr>
      </w:pPr>
      <w:r w:rsidRPr="006A3848">
        <w:rPr>
          <w:rFonts w:ascii="Arial" w:eastAsia="Times New Roman" w:hAnsi="Arial" w:cs="Arial"/>
          <w:color w:val="032E41"/>
          <w:sz w:val="18"/>
          <w:szCs w:val="18"/>
        </w:rPr>
        <w:t>Reliability: To help maintain and improve the reliability of systems that deliver energy products and other hazardous materials.</w:t>
      </w:r>
    </w:p>
    <w:p w:rsidR="006A3848" w:rsidRPr="006A3848" w:rsidRDefault="006A3848" w:rsidP="006A38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32E41"/>
          <w:sz w:val="18"/>
          <w:szCs w:val="18"/>
        </w:rPr>
      </w:pPr>
      <w:r w:rsidRPr="006A3848">
        <w:rPr>
          <w:rFonts w:ascii="Arial" w:eastAsia="Times New Roman" w:hAnsi="Arial" w:cs="Arial"/>
          <w:color w:val="032E41"/>
          <w:sz w:val="18"/>
          <w:szCs w:val="18"/>
        </w:rPr>
        <w:t>Global Connectivity: To harmonize and standardize the requirements for pipeline and hazardous materials transportation internationally, to facilitate efficient and safe transportation through ports of entry and through the supply chain.</w:t>
      </w:r>
    </w:p>
    <w:p w:rsidR="006A3848" w:rsidRPr="006A3848" w:rsidRDefault="006A3848" w:rsidP="006A38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32E41"/>
          <w:sz w:val="18"/>
          <w:szCs w:val="18"/>
        </w:rPr>
      </w:pPr>
      <w:r w:rsidRPr="006A3848">
        <w:rPr>
          <w:rFonts w:ascii="Arial" w:eastAsia="Times New Roman" w:hAnsi="Arial" w:cs="Arial"/>
          <w:color w:val="032E41"/>
          <w:sz w:val="18"/>
          <w:szCs w:val="18"/>
        </w:rPr>
        <w:t>Preparedness and Response: To reduce the consequences (harm to people, environment, and economy) after a pipeline or hazmat failure has occurred.</w:t>
      </w:r>
    </w:p>
    <w:p w:rsidR="006A3848" w:rsidRDefault="00981390" w:rsidP="006A3848">
      <w:hyperlink r:id="rId7" w:history="1">
        <w:r w:rsidR="006A3848" w:rsidRPr="00F0331D">
          <w:rPr>
            <w:rStyle w:val="Hyperlink"/>
          </w:rPr>
          <w:t>http://www.dot.gov/</w:t>
        </w:r>
      </w:hyperlink>
    </w:p>
    <w:p w:rsidR="006A3848" w:rsidRDefault="00981390" w:rsidP="006A3848">
      <w:hyperlink r:id="rId8" w:history="1">
        <w:r w:rsidR="006A3848" w:rsidRPr="00F0331D">
          <w:rPr>
            <w:rStyle w:val="Hyperlink"/>
          </w:rPr>
          <w:t>http://www.phmsa.dot.gov/</w:t>
        </w:r>
      </w:hyperlink>
    </w:p>
    <w:p w:rsidR="006A3848" w:rsidRPr="006A3848" w:rsidRDefault="006A3848" w:rsidP="006A3848"/>
    <w:p w:rsidR="006A3848" w:rsidRPr="006A3848" w:rsidRDefault="006A3848" w:rsidP="006A3848"/>
    <w:sectPr w:rsidR="006A3848" w:rsidRPr="006A3848" w:rsidSect="002E0E92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59E2"/>
    <w:multiLevelType w:val="multilevel"/>
    <w:tmpl w:val="172A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6B5E42"/>
    <w:multiLevelType w:val="multilevel"/>
    <w:tmpl w:val="CDF0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D50446"/>
    <w:multiLevelType w:val="multilevel"/>
    <w:tmpl w:val="3F10B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747BBE"/>
    <w:multiLevelType w:val="multilevel"/>
    <w:tmpl w:val="F2B0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2C"/>
    <w:rsid w:val="001F25CD"/>
    <w:rsid w:val="002E0E92"/>
    <w:rsid w:val="0058342C"/>
    <w:rsid w:val="006A3848"/>
    <w:rsid w:val="00953D23"/>
    <w:rsid w:val="00981390"/>
    <w:rsid w:val="00CD5BBE"/>
    <w:rsid w:val="00EB3192"/>
    <w:rsid w:val="00EC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8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B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F25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58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834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3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1F25C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1F25C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C4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B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D5BB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D5BBE"/>
  </w:style>
  <w:style w:type="character" w:styleId="Emphasis">
    <w:name w:val="Emphasis"/>
    <w:basedOn w:val="DefaultParagraphFont"/>
    <w:uiPriority w:val="20"/>
    <w:qFormat/>
    <w:rsid w:val="00CD5BB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B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A384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A38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8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B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F25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58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834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3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1F25C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1F25C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C4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B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D5BB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D5BBE"/>
  </w:style>
  <w:style w:type="character" w:styleId="Emphasis">
    <w:name w:val="Emphasis"/>
    <w:basedOn w:val="DefaultParagraphFont"/>
    <w:uiPriority w:val="20"/>
    <w:qFormat/>
    <w:rsid w:val="00CD5BB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B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A384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A38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4117">
          <w:marLeft w:val="0"/>
          <w:marRight w:val="0"/>
          <w:marTop w:val="0"/>
          <w:marBottom w:val="0"/>
          <w:divBdr>
            <w:top w:val="dashed" w:sz="6" w:space="8" w:color="99AECC"/>
            <w:left w:val="dashed" w:sz="6" w:space="8" w:color="99AECC"/>
            <w:bottom w:val="single" w:sz="12" w:space="8" w:color="99AECC"/>
            <w:right w:val="dashed" w:sz="6" w:space="8" w:color="99AECC"/>
          </w:divBdr>
        </w:div>
        <w:div w:id="1824816195">
          <w:marLeft w:val="0"/>
          <w:marRight w:val="0"/>
          <w:marTop w:val="0"/>
          <w:marBottom w:val="0"/>
          <w:divBdr>
            <w:top w:val="dashed" w:sz="6" w:space="8" w:color="99AECC"/>
            <w:left w:val="dashed" w:sz="6" w:space="8" w:color="99AECC"/>
            <w:bottom w:val="single" w:sz="12" w:space="8" w:color="99AECC"/>
            <w:right w:val="dashed" w:sz="6" w:space="8" w:color="99AECC"/>
          </w:divBdr>
        </w:div>
        <w:div w:id="1162624231">
          <w:marLeft w:val="0"/>
          <w:marRight w:val="0"/>
          <w:marTop w:val="0"/>
          <w:marBottom w:val="0"/>
          <w:divBdr>
            <w:top w:val="dashed" w:sz="6" w:space="8" w:color="99AECC"/>
            <w:left w:val="dashed" w:sz="6" w:space="8" w:color="99AECC"/>
            <w:bottom w:val="single" w:sz="12" w:space="8" w:color="99AECC"/>
            <w:right w:val="dashed" w:sz="6" w:space="8" w:color="99AECC"/>
          </w:divBdr>
        </w:div>
      </w:divsChild>
    </w:div>
    <w:div w:id="611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0429">
                      <w:blockQuote w:val="1"/>
                      <w:marLeft w:val="450"/>
                      <w:marRight w:val="45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30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4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3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msa.dot.go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 River State College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Peggy Hines IRSC</cp:lastModifiedBy>
  <cp:revision>3</cp:revision>
  <dcterms:created xsi:type="dcterms:W3CDTF">2013-01-24T16:52:00Z</dcterms:created>
  <dcterms:modified xsi:type="dcterms:W3CDTF">2013-03-11T14:55:00Z</dcterms:modified>
</cp:coreProperties>
</file>