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eastAsia="Times New Roman" w:hAnsi="Arial" w:cs="Arial"/>
          <w:sz w:val="36"/>
          <w:szCs w:val="36"/>
        </w:rPr>
        <w:id w:val="-188763996"/>
        <w:docPartObj>
          <w:docPartGallery w:val="Cover Pages"/>
          <w:docPartUnique/>
        </w:docPartObj>
      </w:sdtPr>
      <w:sdtEndPr>
        <w:rPr>
          <w:rFonts w:asciiTheme="minorHAnsi" w:eastAsiaTheme="minorHAnsi" w:hAnsiTheme="minorHAnsi" w:cstheme="minorBidi"/>
          <w:sz w:val="22"/>
          <w:szCs w:val="22"/>
        </w:rPr>
      </w:sdtEndPr>
      <w:sdtContent>
        <w:p w:rsidR="00320259" w:rsidRPr="00320259" w:rsidRDefault="00320259">
          <w:pPr>
            <w:rPr>
              <w:rFonts w:ascii="Arial" w:eastAsia="Times New Roman" w:hAnsi="Arial" w:cs="Arial"/>
              <w:sz w:val="36"/>
              <w:szCs w:val="36"/>
            </w:rPr>
          </w:pPr>
          <w:r w:rsidRPr="001D1996">
            <w:rPr>
              <w:noProof/>
            </w:rPr>
            <mc:AlternateContent>
              <mc:Choice Requires="wps">
                <w:drawing>
                  <wp:anchor distT="0" distB="0" distL="114300" distR="114300" simplePos="0" relativeHeight="251660288" behindDoc="0" locked="0" layoutInCell="1" allowOverlap="1" wp14:anchorId="2B931866" wp14:editId="451BC218">
                    <wp:simplePos x="0" y="0"/>
                    <wp:positionH relativeFrom="column">
                      <wp:posOffset>0</wp:posOffset>
                    </wp:positionH>
                    <wp:positionV relativeFrom="paragraph">
                      <wp:posOffset>66101</wp:posOffset>
                    </wp:positionV>
                    <wp:extent cx="6832600" cy="980501"/>
                    <wp:effectExtent l="0" t="0" r="0" b="0"/>
                    <wp:wrapNone/>
                    <wp:docPr id="8" name="Tit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32600" cy="980501"/>
                            </a:xfrm>
                            <a:prstGeom prst="rect">
                              <a:avLst/>
                            </a:prstGeom>
                          </wps:spPr>
                          <wps:txbx>
                            <w:txbxContent>
                              <w:p w:rsidR="00320259" w:rsidRDefault="00320259" w:rsidP="001D11B4">
                                <w:pPr>
                                  <w:pStyle w:val="NormalWeb"/>
                                  <w:spacing w:before="0" w:beforeAutospacing="0" w:after="60" w:afterAutospacing="0"/>
                                  <w:jc w:val="center"/>
                                  <w:textAlignment w:val="baseline"/>
                                </w:pPr>
                                <w:r>
                                  <w:rPr>
                                    <w:rFonts w:ascii="Garamond" w:hAnsi="Garamond" w:cstheme="minorBidi"/>
                                    <w:b/>
                                    <w:bCs/>
                                    <w:color w:val="000000"/>
                                    <w:sz w:val="72"/>
                                    <w:szCs w:val="72"/>
                                    <w14:shadow w14:blurRad="38100" w14:dist="38100" w14:dir="2700000" w14:sx="100000" w14:sy="100000" w14:kx="0" w14:ky="0" w14:algn="tl">
                                      <w14:srgbClr w14:val="000000">
                                        <w14:alpha w14:val="57000"/>
                                      </w14:srgbClr>
                                    </w14:shadow>
                                    <w14:textOutline w14:w="9525" w14:cap="flat" w14:cmpd="sng" w14:algn="ctr">
                                      <w14:solidFill>
                                        <w14:srgbClr w14:val="000000">
                                          <w14:alpha w14:val="50000"/>
                                        </w14:srgbClr>
                                      </w14:solidFill>
                                      <w14:prstDash w14:val="solid"/>
                                      <w14:round/>
                                    </w14:textOutline>
                                  </w:rPr>
                                  <w:t>Agreement State</w:t>
                                </w:r>
                              </w:p>
                            </w:txbxContent>
                          </wps:txbx>
                          <wps:bodyPr wrap="square" anchor="b"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itle 1" o:spid="_x0000_s1026" type="#_x0000_t202" style="position:absolute;margin-left:0;margin-top:5.2pt;width:538pt;height:7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" filled="f" stroked="f">
                    <v:path arrowok="t"/>
                    <v:textbox>
                      <w:txbxContent>
                        <w:p w:rsidR="00320259" w:rsidRDefault="00320259" w:rsidP="001D11B4">
                          <w:pPr>
                            <w:pStyle w:val="NormalWeb"/>
                            <w:spacing w:before="0" w:beforeAutospacing="0" w:after="60" w:afterAutospacing="0"/>
                            <w:jc w:val="center"/>
                            <w:textAlignment w:val="baseline"/>
                          </w:pPr>
                          <w:r>
                            <w:rPr>
                              <w:rFonts w:ascii="Garamond" w:hAnsi="Garamond" w:cstheme="minorBidi"/>
                              <w:b/>
                              <w:bCs/>
                              <w:color w:val="000000"/>
                              <w:sz w:val="72"/>
                              <w:szCs w:val="72"/>
                              <w14:shadow w14:blurRad="38100" w14:dist="38100" w14:dir="2700000" w14:sx="100000" w14:sy="100000" w14:kx="0" w14:ky="0" w14:algn="tl">
                                <w14:srgbClr w14:val="000000">
                                  <w14:alpha w14:val="57000"/>
                                </w14:srgbClr>
                              </w14:shadow>
                              <w14:textOutline w14:w="9525" w14:cap="flat" w14:cmpd="sng" w14:algn="ctr">
                                <w14:solidFill>
                                  <w14:srgbClr w14:val="000000">
                                    <w14:alpha w14:val="50000"/>
                                  </w14:srgbClr>
                                </w14:solidFill>
                                <w14:prstDash w14:val="solid"/>
                                <w14:round/>
                              </w14:textOutline>
                            </w:rPr>
                            <w:t>Agreement State</w:t>
                          </w:r>
                        </w:p>
                      </w:txbxContent>
                    </v:textbox>
                  </v:shape>
                </w:pict>
              </mc:Fallback>
            </mc:AlternateContent>
          </w:r>
          <w:r w:rsidRPr="001D1996">
            <w:rPr>
              <w:noProof/>
            </w:rPr>
            <mc:AlternateContent>
              <mc:Choice Requires="wps">
                <w:drawing>
                  <wp:anchor distT="0" distB="0" distL="114300" distR="114300" simplePos="0" relativeHeight="251659264" behindDoc="0" locked="0" layoutInCell="1" allowOverlap="1" wp14:anchorId="54F1DFAB" wp14:editId="5E1E91DD">
                    <wp:simplePos x="0" y="0"/>
                    <wp:positionH relativeFrom="column">
                      <wp:posOffset>0</wp:posOffset>
                    </wp:positionH>
                    <wp:positionV relativeFrom="paragraph">
                      <wp:posOffset>980502</wp:posOffset>
                    </wp:positionV>
                    <wp:extent cx="6116955" cy="5783856"/>
                    <wp:effectExtent l="0" t="0" r="0" b="0"/>
                    <wp:wrapNone/>
                    <wp:docPr id="2" name="TextBox 1"/>
                    <wp:cNvGraphicFramePr/>
                    <a:graphic xmlns:a="http://schemas.openxmlformats.org/drawingml/2006/main">
                      <a:graphicData uri="http://schemas.microsoft.com/office/word/2010/wordprocessingShape">
                        <wps:wsp>
                          <wps:cNvSpPr txBox="1"/>
                          <wps:spPr>
                            <a:xfrm>
                              <a:off x="0" y="0"/>
                              <a:ext cx="6116955" cy="5783856"/>
                            </a:xfrm>
                            <a:prstGeom prst="rect">
                              <a:avLst/>
                            </a:prstGeom>
                            <a:noFill/>
                          </wps:spPr>
                          <wps:txbx>
                            <w:txbxContent>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ACADs (08-006</w:t>
                                </w:r>
                                <w:proofErr w:type="gramStart"/>
                                <w:r w:rsidRPr="001D11B4">
                                  <w:rPr>
                                    <w:rFonts w:asciiTheme="minorHAnsi" w:hAnsi="Calibri" w:cstheme="minorBidi"/>
                                    <w:b/>
                                    <w:bCs/>
                                    <w:color w:val="000000"/>
                                    <w:kern w:val="24"/>
                                    <w:sz w:val="32"/>
                                    <w:szCs w:val="36"/>
                                    <w:u w:val="single"/>
                                  </w:rPr>
                                  <w:t>)  Covered</w:t>
                                </w:r>
                                <w:proofErr w:type="gramEnd"/>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tbl>
                                <w:tblPr>
                                  <w:tblW w:w="4230" w:type="pct"/>
                                  <w:jc w:val="center"/>
                                  <w:tblCellMar>
                                    <w:left w:w="0" w:type="dxa"/>
                                    <w:right w:w="0" w:type="dxa"/>
                                  </w:tblCellMar>
                                  <w:tblLook w:val="0600" w:firstRow="0" w:lastRow="0" w:firstColumn="0" w:lastColumn="0" w:noHBand="1" w:noVBand="1"/>
                                </w:tblPr>
                                <w:tblGrid>
                                  <w:gridCol w:w="1297"/>
                                  <w:gridCol w:w="1225"/>
                                  <w:gridCol w:w="940"/>
                                  <w:gridCol w:w="940"/>
                                  <w:gridCol w:w="940"/>
                                  <w:gridCol w:w="940"/>
                                  <w:gridCol w:w="940"/>
                                  <w:gridCol w:w="940"/>
                                </w:tblGrid>
                                <w:tr w:rsidR="00320259"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r>
                                        <w:rPr>
                                          <w:rFonts w:eastAsia="Times New Roman" w:cstheme="minorHAnsi"/>
                                          <w:sz w:val="28"/>
                                          <w:szCs w:val="32"/>
                                        </w:rPr>
                                        <w:t>3.3.5.3.8</w:t>
                                      </w: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r>
                                        <w:rPr>
                                          <w:rFonts w:eastAsia="Times New Roman" w:cstheme="minorHAnsi"/>
                                          <w:sz w:val="28"/>
                                          <w:szCs w:val="32"/>
                                        </w:rPr>
                                        <w:t>4.14.3.8</w:t>
                                      </w: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r>
                                <w:tr w:rsidR="00320259"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r>
                                <w:tr w:rsidR="00320259"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r>
                                <w:tr w:rsidR="00320259"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r>
                              </w:tbl>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Keywords</w:t>
                                </w:r>
                              </w:p>
                              <w:p w:rsidR="00320259" w:rsidRPr="00320259" w:rsidRDefault="00320259" w:rsidP="001D1996">
                                <w:pPr>
                                  <w:pStyle w:val="NormalWeb"/>
                                  <w:spacing w:before="0" w:beforeAutospacing="0" w:after="0" w:afterAutospacing="0"/>
                                  <w:textAlignment w:val="baseline"/>
                                  <w:rPr>
                                    <w:rFonts w:asciiTheme="minorHAnsi" w:hAnsi="Calibri" w:cstheme="minorBidi"/>
                                    <w:bCs/>
                                    <w:color w:val="000000"/>
                                    <w:kern w:val="24"/>
                                    <w:sz w:val="28"/>
                                    <w:szCs w:val="28"/>
                                  </w:rPr>
                                </w:pPr>
                                <w:r w:rsidRPr="00320259">
                                  <w:rPr>
                                    <w:rFonts w:asciiTheme="minorHAnsi" w:hAnsi="Calibri" w:cstheme="minorBidi"/>
                                    <w:bCs/>
                                    <w:color w:val="000000"/>
                                    <w:kern w:val="24"/>
                                    <w:sz w:val="28"/>
                                    <w:szCs w:val="28"/>
                                  </w:rPr>
                                  <w:t>Atomic Energy Act of 1954, byproducts, source materials, special nuclear materials.</w:t>
                                </w:r>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Description</w:t>
                                </w:r>
                              </w:p>
                              <w:p w:rsidR="00320259" w:rsidRPr="00320259" w:rsidRDefault="00320259" w:rsidP="001D1996">
                                <w:pPr>
                                  <w:pStyle w:val="NormalWeb"/>
                                  <w:spacing w:before="0" w:beforeAutospacing="0" w:after="0" w:afterAutospacing="0"/>
                                  <w:textAlignment w:val="baseline"/>
                                  <w:rPr>
                                    <w:rFonts w:asciiTheme="minorHAnsi" w:hAnsiTheme="minorHAnsi" w:cstheme="minorHAnsi"/>
                                    <w:sz w:val="28"/>
                                    <w:szCs w:val="28"/>
                                  </w:rPr>
                                </w:pPr>
                                <w:r w:rsidRPr="00320259">
                                  <w:rPr>
                                    <w:rFonts w:asciiTheme="minorHAnsi" w:hAnsiTheme="minorHAnsi" w:cstheme="minorHAnsi"/>
                                    <w:sz w:val="28"/>
                                    <w:szCs w:val="28"/>
                                  </w:rPr>
                                  <w:t>This document provides a brief description of the Agreement State, background and links to additional resources.</w:t>
                                </w:r>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320259" w:rsidRPr="001D11B4" w:rsidRDefault="00320259" w:rsidP="001D1996">
                                <w:pPr>
                                  <w:pStyle w:val="NormalWeb"/>
                                  <w:spacing w:before="0" w:beforeAutospacing="0" w:after="0" w:afterAutospacing="0"/>
                                  <w:textAlignment w:val="baseline"/>
                                  <w:rPr>
                                    <w:sz w:val="22"/>
                                  </w:rPr>
                                </w:pPr>
                                <w:r w:rsidRPr="001D11B4">
                                  <w:rPr>
                                    <w:rFonts w:asciiTheme="minorHAnsi" w:hAnsi="Calibri" w:cstheme="minorBidi"/>
                                    <w:b/>
                                    <w:bCs/>
                                    <w:color w:val="000000"/>
                                    <w:kern w:val="24"/>
                                    <w:sz w:val="32"/>
                                    <w:szCs w:val="36"/>
                                    <w:u w:val="single"/>
                                  </w:rPr>
                                  <w:t>Supporting Material</w:t>
                                </w:r>
                                <w:bookmarkStart w:id="0" w:name="_GoBack"/>
                                <w:bookmarkEnd w:id="0"/>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TextBox 1" o:spid="_x0000_s1027" type="#_x0000_t202" style="position:absolute;margin-left:0;margin-top:77.2pt;width:481.65pt;height:45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" filled="f" stroked="f">
                    <v:textbox>
                      <w:txbxContent>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ACADs (08-006</w:t>
                          </w:r>
                          <w:proofErr w:type="gramStart"/>
                          <w:r w:rsidRPr="001D11B4">
                            <w:rPr>
                              <w:rFonts w:asciiTheme="minorHAnsi" w:hAnsi="Calibri" w:cstheme="minorBidi"/>
                              <w:b/>
                              <w:bCs/>
                              <w:color w:val="000000"/>
                              <w:kern w:val="24"/>
                              <w:sz w:val="32"/>
                              <w:szCs w:val="36"/>
                              <w:u w:val="single"/>
                            </w:rPr>
                            <w:t>)  Covered</w:t>
                          </w:r>
                          <w:proofErr w:type="gramEnd"/>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tbl>
                          <w:tblPr>
                            <w:tblW w:w="4230" w:type="pct"/>
                            <w:jc w:val="center"/>
                            <w:tblCellMar>
                              <w:left w:w="0" w:type="dxa"/>
                              <w:right w:w="0" w:type="dxa"/>
                            </w:tblCellMar>
                            <w:tblLook w:val="0600" w:firstRow="0" w:lastRow="0" w:firstColumn="0" w:lastColumn="0" w:noHBand="1" w:noVBand="1"/>
                          </w:tblPr>
                          <w:tblGrid>
                            <w:gridCol w:w="1297"/>
                            <w:gridCol w:w="1225"/>
                            <w:gridCol w:w="940"/>
                            <w:gridCol w:w="940"/>
                            <w:gridCol w:w="940"/>
                            <w:gridCol w:w="940"/>
                            <w:gridCol w:w="940"/>
                            <w:gridCol w:w="940"/>
                          </w:tblGrid>
                          <w:tr w:rsidR="00320259"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r>
                                  <w:rPr>
                                    <w:rFonts w:eastAsia="Times New Roman" w:cstheme="minorHAnsi"/>
                                    <w:sz w:val="28"/>
                                    <w:szCs w:val="32"/>
                                  </w:rPr>
                                  <w:t>3.3.5.3.8</w:t>
                                </w: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r>
                                  <w:rPr>
                                    <w:rFonts w:eastAsia="Times New Roman" w:cstheme="minorHAnsi"/>
                                    <w:sz w:val="28"/>
                                    <w:szCs w:val="32"/>
                                  </w:rPr>
                                  <w:t>4.14.3.8</w:t>
                                </w: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r>
                          <w:tr w:rsidR="00320259"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r>
                          <w:tr w:rsidR="00320259"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r>
                          <w:tr w:rsidR="00320259"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r>
                        </w:tbl>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Keywords</w:t>
                          </w:r>
                        </w:p>
                        <w:p w:rsidR="00320259" w:rsidRPr="00320259" w:rsidRDefault="00320259" w:rsidP="001D1996">
                          <w:pPr>
                            <w:pStyle w:val="NormalWeb"/>
                            <w:spacing w:before="0" w:beforeAutospacing="0" w:after="0" w:afterAutospacing="0"/>
                            <w:textAlignment w:val="baseline"/>
                            <w:rPr>
                              <w:rFonts w:asciiTheme="minorHAnsi" w:hAnsi="Calibri" w:cstheme="minorBidi"/>
                              <w:bCs/>
                              <w:color w:val="000000"/>
                              <w:kern w:val="24"/>
                              <w:sz w:val="28"/>
                              <w:szCs w:val="28"/>
                            </w:rPr>
                          </w:pPr>
                          <w:r w:rsidRPr="00320259">
                            <w:rPr>
                              <w:rFonts w:asciiTheme="minorHAnsi" w:hAnsi="Calibri" w:cstheme="minorBidi"/>
                              <w:bCs/>
                              <w:color w:val="000000"/>
                              <w:kern w:val="24"/>
                              <w:sz w:val="28"/>
                              <w:szCs w:val="28"/>
                            </w:rPr>
                            <w:t>Atomic Energy Act of 1954, byproducts, source materials, special nuclear materials.</w:t>
                          </w:r>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Description</w:t>
                          </w:r>
                        </w:p>
                        <w:p w:rsidR="00320259" w:rsidRPr="00320259" w:rsidRDefault="00320259" w:rsidP="001D1996">
                          <w:pPr>
                            <w:pStyle w:val="NormalWeb"/>
                            <w:spacing w:before="0" w:beforeAutospacing="0" w:after="0" w:afterAutospacing="0"/>
                            <w:textAlignment w:val="baseline"/>
                            <w:rPr>
                              <w:rFonts w:asciiTheme="minorHAnsi" w:hAnsiTheme="minorHAnsi" w:cstheme="minorHAnsi"/>
                              <w:sz w:val="28"/>
                              <w:szCs w:val="28"/>
                            </w:rPr>
                          </w:pPr>
                          <w:r w:rsidRPr="00320259">
                            <w:rPr>
                              <w:rFonts w:asciiTheme="minorHAnsi" w:hAnsiTheme="minorHAnsi" w:cstheme="minorHAnsi"/>
                              <w:sz w:val="28"/>
                              <w:szCs w:val="28"/>
                            </w:rPr>
                            <w:t>This document provides a brief description of the Agreement State, background and links to additional resources.</w:t>
                          </w:r>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320259" w:rsidRPr="001D11B4" w:rsidRDefault="00320259" w:rsidP="001D1996">
                          <w:pPr>
                            <w:pStyle w:val="NormalWeb"/>
                            <w:spacing w:before="0" w:beforeAutospacing="0" w:after="0" w:afterAutospacing="0"/>
                            <w:textAlignment w:val="baseline"/>
                            <w:rPr>
                              <w:sz w:val="22"/>
                            </w:rPr>
                          </w:pPr>
                          <w:r w:rsidRPr="001D11B4">
                            <w:rPr>
                              <w:rFonts w:asciiTheme="minorHAnsi" w:hAnsi="Calibri" w:cstheme="minorBidi"/>
                              <w:b/>
                              <w:bCs/>
                              <w:color w:val="000000"/>
                              <w:kern w:val="24"/>
                              <w:sz w:val="32"/>
                              <w:szCs w:val="36"/>
                              <w:u w:val="single"/>
                            </w:rPr>
                            <w:t>Supporting Material</w:t>
                          </w:r>
                          <w:bookmarkStart w:id="1" w:name="_GoBack"/>
                          <w:bookmarkEnd w:id="1"/>
                        </w:p>
                      </w:txbxContent>
                    </v:textbox>
                  </v:shape>
                </w:pict>
              </mc:Fallback>
            </mc:AlternateContent>
          </w:r>
          <w:r>
            <w:rPr>
              <w:noProof/>
            </w:rPr>
            <w:drawing>
              <wp:inline distT="0" distB="0" distL="0" distR="0" wp14:anchorId="55CEB6F5" wp14:editId="764DAF84">
                <wp:extent cx="5943600" cy="76917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ument background.jpg"/>
                        <pic:cNvPicPr/>
                      </pic:nvPicPr>
                      <pic:blipFill>
                        <a:blip r:embed="rId6">
                          <a:extLst>
                            <a:ext uri="{28A0092B-C50C-407E-A947-70E740481C1C}">
                              <a14:useLocalDpi xmlns:a14="http://schemas.microsoft.com/office/drawing/2010/main" val="0"/>
                            </a:ext>
                          </a:extLst>
                        </a:blip>
                        <a:stretch>
                          <a:fillRect/>
                        </a:stretch>
                      </pic:blipFill>
                      <pic:spPr>
                        <a:xfrm>
                          <a:off x="0" y="0"/>
                          <a:ext cx="5943600" cy="7691755"/>
                        </a:xfrm>
                        <a:prstGeom prst="rect">
                          <a:avLst/>
                        </a:prstGeom>
                      </pic:spPr>
                    </pic:pic>
                  </a:graphicData>
                </a:graphic>
              </wp:inline>
            </w:drawing>
          </w:r>
        </w:p>
      </w:sdtContent>
    </w:sdt>
    <w:p w:rsidR="00051EB7" w:rsidRPr="00051EB7" w:rsidRDefault="00051EB7" w:rsidP="00051EB7">
      <w:pPr>
        <w:pStyle w:val="Title"/>
      </w:pPr>
      <w:r w:rsidRPr="00051EB7">
        <w:lastRenderedPageBreak/>
        <w:t>Agreement State Program</w:t>
      </w:r>
    </w:p>
    <w:p w:rsidR="00051EB7" w:rsidRDefault="00051EB7" w:rsidP="00051EB7">
      <w:pPr>
        <w:pStyle w:val="NormalWeb"/>
        <w:shd w:val="clear" w:color="auto" w:fill="FFFFFF"/>
        <w:spacing w:before="0" w:beforeAutospacing="0" w:after="0" w:afterAutospacing="0" w:line="288" w:lineRule="atLeast"/>
        <w:rPr>
          <w:rFonts w:ascii="Verdana" w:hAnsi="Verdana"/>
          <w:color w:val="333333"/>
          <w:sz w:val="18"/>
          <w:szCs w:val="18"/>
        </w:rPr>
      </w:pPr>
    </w:p>
    <w:p w:rsidR="00051EB7" w:rsidRDefault="00051EB7" w:rsidP="00051EB7">
      <w:pPr>
        <w:pStyle w:val="NormalWeb"/>
        <w:shd w:val="clear" w:color="auto" w:fill="FFFFFF"/>
        <w:spacing w:before="0" w:beforeAutospacing="0" w:after="0" w:afterAutospacing="0" w:line="288" w:lineRule="atLeast"/>
        <w:rPr>
          <w:rFonts w:ascii="Verdana" w:hAnsi="Verdana"/>
          <w:color w:val="333333"/>
          <w:sz w:val="18"/>
          <w:szCs w:val="18"/>
        </w:rPr>
      </w:pPr>
      <w:r>
        <w:rPr>
          <w:rFonts w:ascii="Verdana" w:hAnsi="Verdana"/>
          <w:color w:val="333333"/>
          <w:sz w:val="18"/>
          <w:szCs w:val="18"/>
        </w:rPr>
        <w:t>NRC provides assistance to States expressing interest in establishing programs to assume NRC regulatory authority under the</w:t>
      </w:r>
      <w:r>
        <w:rPr>
          <w:rStyle w:val="apple-converted-space"/>
          <w:rFonts w:ascii="Verdana" w:hAnsi="Verdana"/>
          <w:color w:val="333333"/>
          <w:sz w:val="18"/>
          <w:szCs w:val="18"/>
        </w:rPr>
        <w:t> </w:t>
      </w:r>
      <w:hyperlink r:id="rId7" w:anchor="aea-1954" w:history="1">
        <w:r>
          <w:rPr>
            <w:rStyle w:val="Hyperlink"/>
            <w:rFonts w:ascii="Verdana" w:hAnsi="Verdana"/>
            <w:color w:val="A84D4D"/>
            <w:sz w:val="18"/>
            <w:szCs w:val="18"/>
            <w:bdr w:val="none" w:sz="0" w:space="0" w:color="auto" w:frame="1"/>
          </w:rPr>
          <w:t>Atomic Energy Act of 1954</w:t>
        </w:r>
      </w:hyperlink>
      <w:r>
        <w:rPr>
          <w:rFonts w:ascii="Verdana" w:hAnsi="Verdana"/>
          <w:color w:val="333333"/>
          <w:sz w:val="18"/>
          <w:szCs w:val="18"/>
        </w:rPr>
        <w:t>, as amended. Section 274 of the Act provides a statutory basis under which NRC relinquishes to the States portions of its regulatory authority to license and regulate byproduct materials (radioisotopes); source materials (uranium and thorium); and certain quantities of special nuclear materials. The mechanism for the transfer of NRC’s authority to a State is an agreement signed by the Governor of the State and the Chairman of the Commission, in accordance with section 274b of the Act.</w:t>
      </w:r>
    </w:p>
    <w:p w:rsidR="00051EB7" w:rsidRDefault="00051EB7" w:rsidP="00051EB7">
      <w:pPr>
        <w:pStyle w:val="NormalWeb"/>
        <w:shd w:val="clear" w:color="auto" w:fill="FFFFFF"/>
        <w:spacing w:before="0" w:beforeAutospacing="0" w:after="0" w:afterAutospacing="0" w:line="288" w:lineRule="atLeast"/>
        <w:rPr>
          <w:rFonts w:ascii="Verdana" w:hAnsi="Verdana"/>
          <w:color w:val="333333"/>
          <w:sz w:val="18"/>
          <w:szCs w:val="18"/>
        </w:rPr>
      </w:pPr>
      <w:r>
        <w:rPr>
          <w:rFonts w:ascii="Verdana" w:hAnsi="Verdana"/>
          <w:color w:val="333333"/>
          <w:sz w:val="18"/>
          <w:szCs w:val="18"/>
        </w:rPr>
        <w:t>NRC assistance to States entering into Agreements includes review of requests from States for 274b Agreements, or amendments to existing agreements, meetings with States to discuss and resolve NRC review comments, and recommendations for Commission approval of proposed 274b agreements. Additionally, NRC conducts training courses and workshops; evaluates technical licensing and inspection issues from Agreement States; evaluates State rule changes; participates in activities conducted by the Conference of Radiation Control Program Directors, Inc.; and provides early and substantive involvement of the States in NRC rulemaking and other regulatory efforts. The NRC also coordinates with Agreement States the reporting of event information and responses to allegations reported to NRC involving Agreement States.</w:t>
      </w:r>
    </w:p>
    <w:p w:rsidR="00051EB7" w:rsidRDefault="00051EB7" w:rsidP="00051EB7">
      <w:pPr>
        <w:pStyle w:val="NormalWeb"/>
        <w:shd w:val="clear" w:color="auto" w:fill="FFFFFF"/>
        <w:spacing w:before="0" w:beforeAutospacing="0" w:after="0" w:afterAutospacing="0" w:line="288" w:lineRule="atLeast"/>
        <w:rPr>
          <w:rFonts w:ascii="Verdana" w:hAnsi="Verdana"/>
          <w:color w:val="333333"/>
          <w:sz w:val="18"/>
          <w:szCs w:val="18"/>
        </w:rPr>
      </w:pPr>
      <w:r>
        <w:rPr>
          <w:rFonts w:ascii="Verdana" w:hAnsi="Verdana"/>
          <w:color w:val="333333"/>
          <w:sz w:val="18"/>
          <w:szCs w:val="18"/>
        </w:rPr>
        <w:t>On March 26, 1962, the Commonwealth of Kentucky became the first Agreement State. In December 1964, the U.S. Atomic Energy Commission hosted the first annual joint meeting with a group of these States. Today, 37 States have entered into Agreements with NRC, and others are being evaluated.</w:t>
      </w:r>
    </w:p>
    <w:p w:rsidR="00051EB7" w:rsidRDefault="00320259" w:rsidP="00051EB7">
      <w:pPr>
        <w:pStyle w:val="NormalWeb"/>
        <w:shd w:val="clear" w:color="auto" w:fill="FFFFFF"/>
        <w:spacing w:before="0" w:beforeAutospacing="0" w:after="0" w:afterAutospacing="0" w:line="288" w:lineRule="atLeast"/>
        <w:rPr>
          <w:rFonts w:ascii="Verdana" w:hAnsi="Verdana"/>
          <w:color w:val="333333"/>
          <w:sz w:val="18"/>
          <w:szCs w:val="18"/>
        </w:rPr>
      </w:pPr>
      <w:hyperlink r:id="rId8" w:history="1">
        <w:r w:rsidR="00051EB7">
          <w:rPr>
            <w:rStyle w:val="Hyperlink"/>
            <w:rFonts w:ascii="Verdana" w:hAnsi="Verdana"/>
            <w:color w:val="A84D4D"/>
            <w:sz w:val="18"/>
            <w:szCs w:val="18"/>
            <w:bdr w:val="none" w:sz="0" w:space="0" w:color="auto" w:frame="1"/>
          </w:rPr>
          <w:t>More information</w:t>
        </w:r>
      </w:hyperlink>
      <w:r w:rsidR="00051EB7">
        <w:rPr>
          <w:rStyle w:val="apple-converted-space"/>
          <w:rFonts w:ascii="Verdana" w:hAnsi="Verdana"/>
          <w:color w:val="333333"/>
          <w:sz w:val="18"/>
          <w:szCs w:val="18"/>
        </w:rPr>
        <w:t> </w:t>
      </w:r>
      <w:r w:rsidR="00051EB7">
        <w:rPr>
          <w:rFonts w:ascii="Verdana" w:hAnsi="Verdana"/>
          <w:color w:val="333333"/>
          <w:sz w:val="18"/>
          <w:szCs w:val="18"/>
        </w:rPr>
        <w:t>on the Agreement State Program is available. See also the following:</w:t>
      </w:r>
    </w:p>
    <w:p w:rsidR="00051EB7" w:rsidRDefault="00320259" w:rsidP="00051EB7">
      <w:pPr>
        <w:numPr>
          <w:ilvl w:val="0"/>
          <w:numId w:val="7"/>
        </w:numPr>
        <w:spacing w:after="0" w:line="288" w:lineRule="atLeast"/>
        <w:ind w:left="600"/>
        <w:rPr>
          <w:rFonts w:ascii="Verdana" w:hAnsi="Verdana"/>
          <w:color w:val="333333"/>
          <w:sz w:val="18"/>
          <w:szCs w:val="18"/>
        </w:rPr>
      </w:pPr>
      <w:hyperlink r:id="rId9" w:history="1">
        <w:r w:rsidR="00051EB7">
          <w:rPr>
            <w:rStyle w:val="Hyperlink"/>
            <w:rFonts w:ascii="Verdana" w:hAnsi="Verdana"/>
            <w:color w:val="A84D4D"/>
            <w:sz w:val="18"/>
            <w:szCs w:val="18"/>
            <w:bdr w:val="none" w:sz="0" w:space="0" w:color="auto" w:frame="1"/>
          </w:rPr>
          <w:t>Program Guidance and Procedures</w:t>
        </w:r>
      </w:hyperlink>
    </w:p>
    <w:p w:rsidR="00051EB7" w:rsidRDefault="00320259" w:rsidP="00051EB7">
      <w:pPr>
        <w:numPr>
          <w:ilvl w:val="0"/>
          <w:numId w:val="7"/>
        </w:numPr>
        <w:spacing w:after="0" w:line="288" w:lineRule="atLeast"/>
        <w:ind w:left="600"/>
        <w:rPr>
          <w:rFonts w:ascii="Verdana" w:hAnsi="Verdana"/>
          <w:color w:val="333333"/>
          <w:sz w:val="18"/>
          <w:szCs w:val="18"/>
        </w:rPr>
      </w:pPr>
      <w:hyperlink r:id="rId10" w:history="1">
        <w:r w:rsidR="00051EB7">
          <w:rPr>
            <w:rStyle w:val="Hyperlink"/>
            <w:rFonts w:ascii="Verdana" w:hAnsi="Verdana"/>
            <w:color w:val="A84D4D"/>
            <w:sz w:val="18"/>
            <w:szCs w:val="18"/>
            <w:bdr w:val="none" w:sz="0" w:space="0" w:color="auto" w:frame="1"/>
          </w:rPr>
          <w:t>NRC State Communications</w:t>
        </w:r>
      </w:hyperlink>
    </w:p>
    <w:p w:rsidR="00051EB7" w:rsidRDefault="00320259" w:rsidP="00051EB7">
      <w:pPr>
        <w:numPr>
          <w:ilvl w:val="0"/>
          <w:numId w:val="7"/>
        </w:numPr>
        <w:spacing w:after="0" w:line="288" w:lineRule="atLeast"/>
        <w:ind w:left="600"/>
        <w:rPr>
          <w:rFonts w:ascii="Verdana" w:hAnsi="Verdana"/>
          <w:color w:val="333333"/>
          <w:sz w:val="18"/>
          <w:szCs w:val="18"/>
        </w:rPr>
      </w:pPr>
      <w:hyperlink r:id="rId11" w:anchor="sa700" w:history="1">
        <w:r w:rsidR="00051EB7">
          <w:rPr>
            <w:rStyle w:val="Hyperlink"/>
            <w:rFonts w:ascii="Verdana" w:hAnsi="Verdana"/>
            <w:color w:val="A84D4D"/>
            <w:sz w:val="18"/>
            <w:szCs w:val="18"/>
            <w:bdr w:val="none" w:sz="0" w:space="0" w:color="auto" w:frame="1"/>
          </w:rPr>
          <w:t>Becoming an Agreement State</w:t>
        </w:r>
      </w:hyperlink>
    </w:p>
    <w:p w:rsidR="00051EB7" w:rsidRDefault="00320259" w:rsidP="00051EB7">
      <w:pPr>
        <w:numPr>
          <w:ilvl w:val="0"/>
          <w:numId w:val="7"/>
        </w:numPr>
        <w:spacing w:after="0" w:line="288" w:lineRule="atLeast"/>
        <w:ind w:left="600"/>
        <w:rPr>
          <w:rFonts w:ascii="Verdana" w:hAnsi="Verdana"/>
          <w:color w:val="333333"/>
          <w:sz w:val="18"/>
          <w:szCs w:val="18"/>
        </w:rPr>
      </w:pPr>
      <w:hyperlink r:id="rId12" w:history="1">
        <w:r w:rsidR="00051EB7">
          <w:rPr>
            <w:rStyle w:val="Hyperlink"/>
            <w:rFonts w:ascii="Verdana" w:hAnsi="Verdana"/>
            <w:color w:val="A84D4D"/>
            <w:sz w:val="18"/>
            <w:szCs w:val="18"/>
            <w:bdr w:val="none" w:sz="0" w:space="0" w:color="auto" w:frame="1"/>
          </w:rPr>
          <w:t>How NRC Reviews Agreement States</w:t>
        </w:r>
      </w:hyperlink>
    </w:p>
    <w:p w:rsidR="00051EB7" w:rsidRDefault="00320259" w:rsidP="00051EB7">
      <w:pPr>
        <w:numPr>
          <w:ilvl w:val="0"/>
          <w:numId w:val="7"/>
        </w:numPr>
        <w:spacing w:after="0" w:line="288" w:lineRule="atLeast"/>
        <w:ind w:left="600"/>
        <w:rPr>
          <w:rFonts w:ascii="Verdana" w:hAnsi="Verdana"/>
          <w:color w:val="333333"/>
          <w:sz w:val="18"/>
          <w:szCs w:val="18"/>
        </w:rPr>
      </w:pPr>
      <w:hyperlink r:id="rId13" w:history="1">
        <w:r w:rsidR="00051EB7">
          <w:rPr>
            <w:rStyle w:val="Hyperlink"/>
            <w:rFonts w:ascii="Verdana" w:hAnsi="Verdana"/>
            <w:color w:val="A84D4D"/>
            <w:sz w:val="18"/>
            <w:szCs w:val="18"/>
            <w:bdr w:val="none" w:sz="0" w:space="0" w:color="auto" w:frame="1"/>
          </w:rPr>
          <w:t>Program Review Reports</w:t>
        </w:r>
      </w:hyperlink>
    </w:p>
    <w:p w:rsidR="00051EB7" w:rsidRDefault="00320259" w:rsidP="00051EB7">
      <w:pPr>
        <w:numPr>
          <w:ilvl w:val="0"/>
          <w:numId w:val="7"/>
        </w:numPr>
        <w:spacing w:after="0" w:line="288" w:lineRule="atLeast"/>
        <w:ind w:left="600"/>
        <w:rPr>
          <w:rFonts w:ascii="Verdana" w:hAnsi="Verdana"/>
          <w:color w:val="333333"/>
          <w:sz w:val="18"/>
          <w:szCs w:val="18"/>
        </w:rPr>
      </w:pPr>
      <w:hyperlink r:id="rId14" w:history="1">
        <w:r w:rsidR="00051EB7">
          <w:rPr>
            <w:rStyle w:val="Hyperlink"/>
            <w:rFonts w:ascii="Verdana" w:hAnsi="Verdana"/>
            <w:color w:val="A84D4D"/>
            <w:sz w:val="18"/>
            <w:szCs w:val="18"/>
            <w:bdr w:val="none" w:sz="0" w:space="0" w:color="auto" w:frame="1"/>
          </w:rPr>
          <w:t>Contact Us About State and Tribal Programs</w:t>
        </w:r>
      </w:hyperlink>
    </w:p>
    <w:p w:rsidR="006A3848" w:rsidRDefault="006A3848" w:rsidP="00051EB7"/>
    <w:p w:rsidR="00051EB7" w:rsidRDefault="00320259" w:rsidP="00051EB7">
      <w:hyperlink r:id="rId15" w:history="1">
        <w:r w:rsidR="00051EB7" w:rsidRPr="00F0331D">
          <w:rPr>
            <w:rStyle w:val="Hyperlink"/>
          </w:rPr>
          <w:t>http://www.nrc.gov/about-nrc/state-tribal/agreement-states.html</w:t>
        </w:r>
      </w:hyperlink>
    </w:p>
    <w:p w:rsidR="00051EB7" w:rsidRPr="00051EB7" w:rsidRDefault="00051EB7" w:rsidP="00051EB7"/>
    <w:sectPr w:rsidR="00051EB7" w:rsidRPr="00051EB7" w:rsidSect="00320259">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059E2"/>
    <w:multiLevelType w:val="multilevel"/>
    <w:tmpl w:val="172A2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3428AD"/>
    <w:multiLevelType w:val="multilevel"/>
    <w:tmpl w:val="38D21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6B5E42"/>
    <w:multiLevelType w:val="multilevel"/>
    <w:tmpl w:val="CDF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BE52FE"/>
    <w:multiLevelType w:val="multilevel"/>
    <w:tmpl w:val="27AC5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0453D6"/>
    <w:multiLevelType w:val="multilevel"/>
    <w:tmpl w:val="E528D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1D50446"/>
    <w:multiLevelType w:val="multilevel"/>
    <w:tmpl w:val="3F10B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C747BBE"/>
    <w:multiLevelType w:val="multilevel"/>
    <w:tmpl w:val="F2B0C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
  </w:num>
  <w:num w:numId="3">
    <w:abstractNumId w:val="5"/>
  </w:num>
  <w:num w:numId="4">
    <w:abstractNumId w:val="0"/>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42C"/>
    <w:rsid w:val="00051EB7"/>
    <w:rsid w:val="001F25CD"/>
    <w:rsid w:val="00320259"/>
    <w:rsid w:val="0058342C"/>
    <w:rsid w:val="006A3848"/>
    <w:rsid w:val="00953D23"/>
    <w:rsid w:val="00CD5BBE"/>
    <w:rsid w:val="00EB3192"/>
    <w:rsid w:val="00EC4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A38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D5BB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F25C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58342C"/>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834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342C"/>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1F25CD"/>
    <w:rPr>
      <w:rFonts w:ascii="Times New Roman" w:eastAsia="Times New Roman" w:hAnsi="Times New Roman" w:cs="Times New Roman"/>
      <w:b/>
      <w:bCs/>
      <w:sz w:val="27"/>
      <w:szCs w:val="27"/>
    </w:rPr>
  </w:style>
  <w:style w:type="paragraph" w:styleId="NoSpacing">
    <w:name w:val="No Spacing"/>
    <w:uiPriority w:val="1"/>
    <w:qFormat/>
    <w:rsid w:val="001F25CD"/>
    <w:pPr>
      <w:spacing w:after="0" w:line="240" w:lineRule="auto"/>
    </w:pPr>
  </w:style>
  <w:style w:type="paragraph" w:styleId="NormalWeb">
    <w:name w:val="Normal (Web)"/>
    <w:basedOn w:val="Normal"/>
    <w:uiPriority w:val="99"/>
    <w:unhideWhenUsed/>
    <w:rsid w:val="00EC4E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CD5BB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CD5BBE"/>
    <w:rPr>
      <w:color w:val="0000FF"/>
      <w:u w:val="single"/>
    </w:rPr>
  </w:style>
  <w:style w:type="character" w:customStyle="1" w:styleId="apple-converted-space">
    <w:name w:val="apple-converted-space"/>
    <w:basedOn w:val="DefaultParagraphFont"/>
    <w:rsid w:val="00CD5BBE"/>
  </w:style>
  <w:style w:type="character" w:styleId="Emphasis">
    <w:name w:val="Emphasis"/>
    <w:basedOn w:val="DefaultParagraphFont"/>
    <w:uiPriority w:val="20"/>
    <w:qFormat/>
    <w:rsid w:val="00CD5BBE"/>
    <w:rPr>
      <w:i/>
      <w:iCs/>
    </w:rPr>
  </w:style>
  <w:style w:type="paragraph" w:styleId="BalloonText">
    <w:name w:val="Balloon Text"/>
    <w:basedOn w:val="Normal"/>
    <w:link w:val="BalloonTextChar"/>
    <w:uiPriority w:val="99"/>
    <w:semiHidden/>
    <w:unhideWhenUsed/>
    <w:rsid w:val="00CD5B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BBE"/>
    <w:rPr>
      <w:rFonts w:ascii="Tahoma" w:hAnsi="Tahoma" w:cs="Tahoma"/>
      <w:sz w:val="16"/>
      <w:szCs w:val="16"/>
    </w:rPr>
  </w:style>
  <w:style w:type="character" w:styleId="Strong">
    <w:name w:val="Strong"/>
    <w:basedOn w:val="DefaultParagraphFont"/>
    <w:uiPriority w:val="22"/>
    <w:qFormat/>
    <w:rsid w:val="006A3848"/>
    <w:rPr>
      <w:b/>
      <w:bCs/>
    </w:rPr>
  </w:style>
  <w:style w:type="character" w:customStyle="1" w:styleId="Heading1Char">
    <w:name w:val="Heading 1 Char"/>
    <w:basedOn w:val="DefaultParagraphFont"/>
    <w:link w:val="Heading1"/>
    <w:uiPriority w:val="9"/>
    <w:rsid w:val="006A384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A38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D5BB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F25C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58342C"/>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834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342C"/>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1F25CD"/>
    <w:rPr>
      <w:rFonts w:ascii="Times New Roman" w:eastAsia="Times New Roman" w:hAnsi="Times New Roman" w:cs="Times New Roman"/>
      <w:b/>
      <w:bCs/>
      <w:sz w:val="27"/>
      <w:szCs w:val="27"/>
    </w:rPr>
  </w:style>
  <w:style w:type="paragraph" w:styleId="NoSpacing">
    <w:name w:val="No Spacing"/>
    <w:uiPriority w:val="1"/>
    <w:qFormat/>
    <w:rsid w:val="001F25CD"/>
    <w:pPr>
      <w:spacing w:after="0" w:line="240" w:lineRule="auto"/>
    </w:pPr>
  </w:style>
  <w:style w:type="paragraph" w:styleId="NormalWeb">
    <w:name w:val="Normal (Web)"/>
    <w:basedOn w:val="Normal"/>
    <w:uiPriority w:val="99"/>
    <w:unhideWhenUsed/>
    <w:rsid w:val="00EC4E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CD5BB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CD5BBE"/>
    <w:rPr>
      <w:color w:val="0000FF"/>
      <w:u w:val="single"/>
    </w:rPr>
  </w:style>
  <w:style w:type="character" w:customStyle="1" w:styleId="apple-converted-space">
    <w:name w:val="apple-converted-space"/>
    <w:basedOn w:val="DefaultParagraphFont"/>
    <w:rsid w:val="00CD5BBE"/>
  </w:style>
  <w:style w:type="character" w:styleId="Emphasis">
    <w:name w:val="Emphasis"/>
    <w:basedOn w:val="DefaultParagraphFont"/>
    <w:uiPriority w:val="20"/>
    <w:qFormat/>
    <w:rsid w:val="00CD5BBE"/>
    <w:rPr>
      <w:i/>
      <w:iCs/>
    </w:rPr>
  </w:style>
  <w:style w:type="paragraph" w:styleId="BalloonText">
    <w:name w:val="Balloon Text"/>
    <w:basedOn w:val="Normal"/>
    <w:link w:val="BalloonTextChar"/>
    <w:uiPriority w:val="99"/>
    <w:semiHidden/>
    <w:unhideWhenUsed/>
    <w:rsid w:val="00CD5B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BBE"/>
    <w:rPr>
      <w:rFonts w:ascii="Tahoma" w:hAnsi="Tahoma" w:cs="Tahoma"/>
      <w:sz w:val="16"/>
      <w:szCs w:val="16"/>
    </w:rPr>
  </w:style>
  <w:style w:type="character" w:styleId="Strong">
    <w:name w:val="Strong"/>
    <w:basedOn w:val="DefaultParagraphFont"/>
    <w:uiPriority w:val="22"/>
    <w:qFormat/>
    <w:rsid w:val="006A3848"/>
    <w:rPr>
      <w:b/>
      <w:bCs/>
    </w:rPr>
  </w:style>
  <w:style w:type="character" w:customStyle="1" w:styleId="Heading1Char">
    <w:name w:val="Heading 1 Char"/>
    <w:basedOn w:val="DefaultParagraphFont"/>
    <w:link w:val="Heading1"/>
    <w:uiPriority w:val="9"/>
    <w:rsid w:val="006A384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444873">
      <w:bodyDiv w:val="1"/>
      <w:marLeft w:val="0"/>
      <w:marRight w:val="0"/>
      <w:marTop w:val="0"/>
      <w:marBottom w:val="0"/>
      <w:divBdr>
        <w:top w:val="none" w:sz="0" w:space="0" w:color="auto"/>
        <w:left w:val="none" w:sz="0" w:space="0" w:color="auto"/>
        <w:bottom w:val="none" w:sz="0" w:space="0" w:color="auto"/>
        <w:right w:val="none" w:sz="0" w:space="0" w:color="auto"/>
      </w:divBdr>
      <w:divsChild>
        <w:div w:id="563684117">
          <w:marLeft w:val="0"/>
          <w:marRight w:val="0"/>
          <w:marTop w:val="0"/>
          <w:marBottom w:val="0"/>
          <w:divBdr>
            <w:top w:val="dashed" w:sz="6" w:space="8" w:color="99AECC"/>
            <w:left w:val="dashed" w:sz="6" w:space="8" w:color="99AECC"/>
            <w:bottom w:val="single" w:sz="12" w:space="8" w:color="99AECC"/>
            <w:right w:val="dashed" w:sz="6" w:space="8" w:color="99AECC"/>
          </w:divBdr>
        </w:div>
        <w:div w:id="1824816195">
          <w:marLeft w:val="0"/>
          <w:marRight w:val="0"/>
          <w:marTop w:val="0"/>
          <w:marBottom w:val="0"/>
          <w:divBdr>
            <w:top w:val="dashed" w:sz="6" w:space="8" w:color="99AECC"/>
            <w:left w:val="dashed" w:sz="6" w:space="8" w:color="99AECC"/>
            <w:bottom w:val="single" w:sz="12" w:space="8" w:color="99AECC"/>
            <w:right w:val="dashed" w:sz="6" w:space="8" w:color="99AECC"/>
          </w:divBdr>
        </w:div>
        <w:div w:id="1162624231">
          <w:marLeft w:val="0"/>
          <w:marRight w:val="0"/>
          <w:marTop w:val="0"/>
          <w:marBottom w:val="0"/>
          <w:divBdr>
            <w:top w:val="dashed" w:sz="6" w:space="8" w:color="99AECC"/>
            <w:left w:val="dashed" w:sz="6" w:space="8" w:color="99AECC"/>
            <w:bottom w:val="single" w:sz="12" w:space="8" w:color="99AECC"/>
            <w:right w:val="dashed" w:sz="6" w:space="8" w:color="99AECC"/>
          </w:divBdr>
        </w:div>
      </w:divsChild>
    </w:div>
    <w:div w:id="611203020">
      <w:bodyDiv w:val="1"/>
      <w:marLeft w:val="0"/>
      <w:marRight w:val="0"/>
      <w:marTop w:val="0"/>
      <w:marBottom w:val="0"/>
      <w:divBdr>
        <w:top w:val="none" w:sz="0" w:space="0" w:color="auto"/>
        <w:left w:val="none" w:sz="0" w:space="0" w:color="auto"/>
        <w:bottom w:val="none" w:sz="0" w:space="0" w:color="auto"/>
        <w:right w:val="none" w:sz="0" w:space="0" w:color="auto"/>
      </w:divBdr>
    </w:div>
    <w:div w:id="728958019">
      <w:bodyDiv w:val="1"/>
      <w:marLeft w:val="0"/>
      <w:marRight w:val="0"/>
      <w:marTop w:val="0"/>
      <w:marBottom w:val="0"/>
      <w:divBdr>
        <w:top w:val="none" w:sz="0" w:space="0" w:color="auto"/>
        <w:left w:val="none" w:sz="0" w:space="0" w:color="auto"/>
        <w:bottom w:val="none" w:sz="0" w:space="0" w:color="auto"/>
        <w:right w:val="none" w:sz="0" w:space="0" w:color="auto"/>
      </w:divBdr>
    </w:div>
    <w:div w:id="816150223">
      <w:bodyDiv w:val="1"/>
      <w:marLeft w:val="0"/>
      <w:marRight w:val="0"/>
      <w:marTop w:val="0"/>
      <w:marBottom w:val="0"/>
      <w:divBdr>
        <w:top w:val="none" w:sz="0" w:space="0" w:color="auto"/>
        <w:left w:val="none" w:sz="0" w:space="0" w:color="auto"/>
        <w:bottom w:val="none" w:sz="0" w:space="0" w:color="auto"/>
        <w:right w:val="none" w:sz="0" w:space="0" w:color="auto"/>
      </w:divBdr>
      <w:divsChild>
        <w:div w:id="230845760">
          <w:marLeft w:val="0"/>
          <w:marRight w:val="0"/>
          <w:marTop w:val="0"/>
          <w:marBottom w:val="0"/>
          <w:divBdr>
            <w:top w:val="none" w:sz="0" w:space="0" w:color="auto"/>
            <w:left w:val="none" w:sz="0" w:space="0" w:color="auto"/>
            <w:bottom w:val="none" w:sz="0" w:space="0" w:color="auto"/>
            <w:right w:val="none" w:sz="0" w:space="0" w:color="auto"/>
          </w:divBdr>
          <w:divsChild>
            <w:div w:id="1871143576">
              <w:marLeft w:val="0"/>
              <w:marRight w:val="0"/>
              <w:marTop w:val="0"/>
              <w:marBottom w:val="0"/>
              <w:divBdr>
                <w:top w:val="none" w:sz="0" w:space="0" w:color="auto"/>
                <w:left w:val="none" w:sz="0" w:space="0" w:color="auto"/>
                <w:bottom w:val="none" w:sz="0" w:space="0" w:color="auto"/>
                <w:right w:val="none" w:sz="0" w:space="0" w:color="auto"/>
              </w:divBdr>
              <w:divsChild>
                <w:div w:id="337927211">
                  <w:marLeft w:val="0"/>
                  <w:marRight w:val="0"/>
                  <w:marTop w:val="0"/>
                  <w:marBottom w:val="0"/>
                  <w:divBdr>
                    <w:top w:val="none" w:sz="0" w:space="0" w:color="auto"/>
                    <w:left w:val="none" w:sz="0" w:space="0" w:color="auto"/>
                    <w:bottom w:val="none" w:sz="0" w:space="0" w:color="auto"/>
                    <w:right w:val="none" w:sz="0" w:space="0" w:color="auto"/>
                  </w:divBdr>
                  <w:divsChild>
                    <w:div w:id="414590429">
                      <w:blockQuote w:val="1"/>
                      <w:marLeft w:val="450"/>
                      <w:marRight w:val="450"/>
                      <w:marTop w:val="360"/>
                      <w:marBottom w:val="360"/>
                      <w:divBdr>
                        <w:top w:val="none" w:sz="0" w:space="0" w:color="auto"/>
                        <w:left w:val="none" w:sz="0" w:space="0" w:color="auto"/>
                        <w:bottom w:val="none" w:sz="0" w:space="0" w:color="auto"/>
                        <w:right w:val="none" w:sz="0" w:space="0" w:color="auto"/>
                      </w:divBdr>
                    </w:div>
                  </w:divsChild>
                </w:div>
              </w:divsChild>
            </w:div>
          </w:divsChild>
        </w:div>
        <w:div w:id="1403018528">
          <w:marLeft w:val="0"/>
          <w:marRight w:val="0"/>
          <w:marTop w:val="0"/>
          <w:marBottom w:val="0"/>
          <w:divBdr>
            <w:top w:val="none" w:sz="0" w:space="0" w:color="auto"/>
            <w:left w:val="none" w:sz="0" w:space="0" w:color="auto"/>
            <w:bottom w:val="none" w:sz="0" w:space="0" w:color="auto"/>
            <w:right w:val="none" w:sz="0" w:space="0" w:color="auto"/>
          </w:divBdr>
          <w:divsChild>
            <w:div w:id="2095348960">
              <w:marLeft w:val="0"/>
              <w:marRight w:val="0"/>
              <w:marTop w:val="0"/>
              <w:marBottom w:val="0"/>
              <w:divBdr>
                <w:top w:val="none" w:sz="0" w:space="0" w:color="auto"/>
                <w:left w:val="none" w:sz="0" w:space="0" w:color="auto"/>
                <w:bottom w:val="none" w:sz="0" w:space="0" w:color="auto"/>
                <w:right w:val="none" w:sz="0" w:space="0" w:color="auto"/>
              </w:divBdr>
              <w:divsChild>
                <w:div w:id="160395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188859">
      <w:bodyDiv w:val="1"/>
      <w:marLeft w:val="0"/>
      <w:marRight w:val="0"/>
      <w:marTop w:val="0"/>
      <w:marBottom w:val="0"/>
      <w:divBdr>
        <w:top w:val="none" w:sz="0" w:space="0" w:color="auto"/>
        <w:left w:val="none" w:sz="0" w:space="0" w:color="auto"/>
        <w:bottom w:val="none" w:sz="0" w:space="0" w:color="auto"/>
        <w:right w:val="none" w:sz="0" w:space="0" w:color="auto"/>
      </w:divBdr>
      <w:divsChild>
        <w:div w:id="363597480">
          <w:marLeft w:val="450"/>
          <w:marRight w:val="0"/>
          <w:marTop w:val="0"/>
          <w:marBottom w:val="150"/>
          <w:divBdr>
            <w:top w:val="none" w:sz="0" w:space="0" w:color="auto"/>
            <w:left w:val="none" w:sz="0" w:space="0" w:color="auto"/>
            <w:bottom w:val="none" w:sz="0" w:space="0" w:color="auto"/>
            <w:right w:val="none" w:sz="0" w:space="0" w:color="auto"/>
          </w:divBdr>
          <w:divsChild>
            <w:div w:id="929586700">
              <w:marLeft w:val="0"/>
              <w:marRight w:val="0"/>
              <w:marTop w:val="0"/>
              <w:marBottom w:val="150"/>
              <w:divBdr>
                <w:top w:val="none" w:sz="0" w:space="0" w:color="auto"/>
                <w:left w:val="none" w:sz="0" w:space="0" w:color="auto"/>
                <w:bottom w:val="none" w:sz="0" w:space="0" w:color="auto"/>
                <w:right w:val="none" w:sz="0" w:space="0" w:color="auto"/>
              </w:divBdr>
              <w:divsChild>
                <w:div w:id="381951880">
                  <w:marLeft w:val="0"/>
                  <w:marRight w:val="0"/>
                  <w:marTop w:val="0"/>
                  <w:marBottom w:val="0"/>
                  <w:divBdr>
                    <w:top w:val="single" w:sz="18" w:space="0" w:color="CCCCCC"/>
                    <w:left w:val="single" w:sz="18" w:space="0" w:color="CCCCCC"/>
                    <w:bottom w:val="single" w:sz="2" w:space="0" w:color="CCCCCC"/>
                    <w:right w:val="single" w:sz="18" w:space="0" w:color="CCCCCC"/>
                  </w:divBdr>
                  <w:divsChild>
                    <w:div w:id="915554539">
                      <w:marLeft w:val="0"/>
                      <w:marRight w:val="0"/>
                      <w:marTop w:val="0"/>
                      <w:marBottom w:val="0"/>
                      <w:divBdr>
                        <w:top w:val="none" w:sz="0" w:space="0" w:color="auto"/>
                        <w:left w:val="none" w:sz="0" w:space="0" w:color="auto"/>
                        <w:bottom w:val="none" w:sz="0" w:space="0" w:color="auto"/>
                        <w:right w:val="none" w:sz="0" w:space="0" w:color="auto"/>
                      </w:divBdr>
                    </w:div>
                  </w:divsChild>
                </w:div>
                <w:div w:id="1151406970">
                  <w:marLeft w:val="0"/>
                  <w:marRight w:val="0"/>
                  <w:marTop w:val="0"/>
                  <w:marBottom w:val="0"/>
                  <w:divBdr>
                    <w:top w:val="single" w:sz="2" w:space="0" w:color="CCCCCC"/>
                    <w:left w:val="single" w:sz="18" w:space="0" w:color="CCCCCC"/>
                    <w:bottom w:val="single" w:sz="18" w:space="4" w:color="CCCCCC"/>
                    <w:right w:val="single" w:sz="18" w:space="0" w:color="CCCCCC"/>
                  </w:divBdr>
                </w:div>
              </w:divsChild>
            </w:div>
            <w:div w:id="460926443">
              <w:marLeft w:val="0"/>
              <w:marRight w:val="0"/>
              <w:marTop w:val="0"/>
              <w:marBottom w:val="150"/>
              <w:divBdr>
                <w:top w:val="none" w:sz="0" w:space="0" w:color="auto"/>
                <w:left w:val="none" w:sz="0" w:space="0" w:color="auto"/>
                <w:bottom w:val="none" w:sz="0" w:space="0" w:color="auto"/>
                <w:right w:val="none" w:sz="0" w:space="0" w:color="auto"/>
              </w:divBdr>
              <w:divsChild>
                <w:div w:id="230120969">
                  <w:marLeft w:val="0"/>
                  <w:marRight w:val="0"/>
                  <w:marTop w:val="0"/>
                  <w:marBottom w:val="0"/>
                  <w:divBdr>
                    <w:top w:val="single" w:sz="18" w:space="0" w:color="CCCCCC"/>
                    <w:left w:val="single" w:sz="18" w:space="0" w:color="CCCCCC"/>
                    <w:bottom w:val="single" w:sz="2" w:space="0" w:color="CCCCCC"/>
                    <w:right w:val="single" w:sz="18" w:space="0" w:color="CCCCCC"/>
                  </w:divBdr>
                  <w:divsChild>
                    <w:div w:id="666397807">
                      <w:marLeft w:val="0"/>
                      <w:marRight w:val="0"/>
                      <w:marTop w:val="0"/>
                      <w:marBottom w:val="0"/>
                      <w:divBdr>
                        <w:top w:val="none" w:sz="0" w:space="0" w:color="auto"/>
                        <w:left w:val="none" w:sz="0" w:space="0" w:color="auto"/>
                        <w:bottom w:val="none" w:sz="0" w:space="0" w:color="auto"/>
                        <w:right w:val="none" w:sz="0" w:space="0" w:color="auto"/>
                      </w:divBdr>
                    </w:div>
                  </w:divsChild>
                </w:div>
                <w:div w:id="68158158">
                  <w:marLeft w:val="0"/>
                  <w:marRight w:val="0"/>
                  <w:marTop w:val="0"/>
                  <w:marBottom w:val="0"/>
                  <w:divBdr>
                    <w:top w:val="single" w:sz="2" w:space="0" w:color="CCCCCC"/>
                    <w:left w:val="single" w:sz="18" w:space="0" w:color="CCCCCC"/>
                    <w:bottom w:val="single" w:sz="18" w:space="4" w:color="CCCCCC"/>
                    <w:right w:val="single" w:sz="18" w:space="0" w:color="CCCCCC"/>
                  </w:divBdr>
                </w:div>
              </w:divsChild>
            </w:div>
          </w:divsChild>
        </w:div>
      </w:divsChild>
    </w:div>
    <w:div w:id="1862352145">
      <w:bodyDiv w:val="1"/>
      <w:marLeft w:val="0"/>
      <w:marRight w:val="0"/>
      <w:marTop w:val="0"/>
      <w:marBottom w:val="0"/>
      <w:divBdr>
        <w:top w:val="none" w:sz="0" w:space="0" w:color="auto"/>
        <w:left w:val="none" w:sz="0" w:space="0" w:color="auto"/>
        <w:bottom w:val="none" w:sz="0" w:space="0" w:color="auto"/>
        <w:right w:val="none" w:sz="0" w:space="0" w:color="auto"/>
      </w:divBdr>
    </w:div>
    <w:div w:id="2124156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rc-stp.ornl.gov/" TargetMode="External"/><Relationship Id="rId13" Type="http://schemas.openxmlformats.org/officeDocument/2006/relationships/hyperlink" Target="http://nrc-stp.ornl.gov/reviews.html" TargetMode="External"/><Relationship Id="rId3" Type="http://schemas.microsoft.com/office/2007/relationships/stylesWithEffects" Target="stylesWithEffects.xml"/><Relationship Id="rId7" Type="http://schemas.openxmlformats.org/officeDocument/2006/relationships/hyperlink" Target="http://www.nrc.gov/about-nrc/governing-laws.html" TargetMode="External"/><Relationship Id="rId12" Type="http://schemas.openxmlformats.org/officeDocument/2006/relationships/hyperlink" Target="http://nrc-stp.ornl.gov/impeptoolbox/impep.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hyperlink" Target="http://www.nrc.gov/about-nrc/state-tribal/become-agreement.html" TargetMode="External"/><Relationship Id="rId5" Type="http://schemas.openxmlformats.org/officeDocument/2006/relationships/webSettings" Target="webSettings.xml"/><Relationship Id="rId15" Type="http://schemas.openxmlformats.org/officeDocument/2006/relationships/hyperlink" Target="http://www.nrc.gov/about-nrc/state-tribal/agreement-states.html" TargetMode="External"/><Relationship Id="rId10" Type="http://schemas.openxmlformats.org/officeDocument/2006/relationships/hyperlink" Target="http://nrc-stp.ornl.gov/asletters/" TargetMode="External"/><Relationship Id="rId4" Type="http://schemas.openxmlformats.org/officeDocument/2006/relationships/settings" Target="settings.xml"/><Relationship Id="rId9" Type="http://schemas.openxmlformats.org/officeDocument/2006/relationships/hyperlink" Target="http://nrc-stp.ornl.gov/procedures.html" TargetMode="External"/><Relationship Id="rId14" Type="http://schemas.openxmlformats.org/officeDocument/2006/relationships/hyperlink" Target="http://nrc-stp.ornl.gov/stpdirect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400</Words>
  <Characters>2284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Indian River State College</Company>
  <LinksUpToDate>false</LinksUpToDate>
  <CharactersWithSpaces>2679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Peggy Hines IRSC</cp:lastModifiedBy>
  <cp:revision>3</cp:revision>
  <dcterms:created xsi:type="dcterms:W3CDTF">2013-01-24T16:54:00Z</dcterms:created>
  <dcterms:modified xsi:type="dcterms:W3CDTF">2013-03-08T20:23:00Z</dcterms:modified>
</cp:coreProperties>
</file>