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180" w:before="180" w:lineRule="auto"/>
        <w:rPr>
          <w:rFonts w:ascii="Lato" w:cs="Lato" w:eastAsia="Lato" w:hAnsi="Lato"/>
          <w:color w:val="2d3b45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2d3b45"/>
          <w:sz w:val="24"/>
          <w:szCs w:val="24"/>
          <w:rtl w:val="0"/>
        </w:rPr>
        <w:t xml:space="preserve">“Amateurs hack systems, professionals hack people.” - Bruce Schneier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4352925</wp:posOffset>
            </wp:positionH>
            <wp:positionV relativeFrom="paragraph">
              <wp:posOffset>114300</wp:posOffset>
            </wp:positionV>
            <wp:extent cx="2486025" cy="3190875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1908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hd w:fill="ffffff" w:val="clear"/>
        <w:spacing w:after="180" w:before="180" w:lineRule="auto"/>
        <w:rPr>
          <w:rFonts w:ascii="Lato" w:cs="Lato" w:eastAsia="Lato" w:hAnsi="Lato"/>
          <w:color w:val="2d3b45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2d3b45"/>
          <w:sz w:val="24"/>
          <w:szCs w:val="24"/>
          <w:rtl w:val="0"/>
        </w:rPr>
        <w:t xml:space="preserve">It’s called “The Human Factor” - the most high dollar, complex computer systems in the world can’t protect against the naive, helpful nature of a receptionist or the authoritative deception of an official looking person walking in a business with an IT badge asking to see the server room.</w:t>
      </w:r>
    </w:p>
    <w:p w:rsidR="00000000" w:rsidDel="00000000" w:rsidP="00000000" w:rsidRDefault="00000000" w:rsidRPr="00000000" w14:paraId="00000003">
      <w:pPr>
        <w:shd w:fill="ffffff" w:val="clear"/>
        <w:spacing w:after="180" w:before="180" w:lineRule="auto"/>
        <w:rPr>
          <w:rFonts w:ascii="Lato" w:cs="Lato" w:eastAsia="Lato" w:hAnsi="Lato"/>
          <w:color w:val="2d3b45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2d3b45"/>
          <w:sz w:val="24"/>
          <w:szCs w:val="24"/>
          <w:rtl w:val="0"/>
        </w:rPr>
        <w:t xml:space="preserve">Cybersecurity is a constant battle between finding vulnerabilities and fixing them before they become a problem. In this lesson, you will learn how to identify security vulnerabilities with an individual. Knowledge is power!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